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pPr>
      <w:bookmarkStart w:colFirst="0" w:colLast="0" w:name="_gjdgxs" w:id="0"/>
      <w:bookmarkEnd w:id="0"/>
      <w:r w:rsidDel="00000000" w:rsidR="00000000" w:rsidRPr="00000000">
        <w:rPr>
          <w:rtl w:val="0"/>
        </w:rPr>
        <w:t xml:space="preserve">Supporting information</w:t>
      </w:r>
    </w:p>
    <w:p w:rsidR="00000000" w:rsidDel="00000000" w:rsidP="00000000" w:rsidRDefault="00000000" w:rsidRPr="00000000">
      <w:pPr>
        <w:contextualSpacing w:val="0"/>
        <w:jc w:val="center"/>
        <w:rPr>
          <w:b w:val="1"/>
          <w:sz w:val="26"/>
          <w:szCs w:val="26"/>
        </w:rPr>
      </w:pPr>
      <w:r w:rsidDel="00000000" w:rsidR="00000000" w:rsidRPr="00000000">
        <w:rPr>
          <w:b w:val="1"/>
          <w:sz w:val="26"/>
          <w:szCs w:val="26"/>
          <w:rtl w:val="0"/>
        </w:rPr>
        <w:t xml:space="preserve"> Calibrant Free Sampling and Enrichment with Solid-Phase Microextraction: Computational Simulation and Experimental Verification </w:t>
      </w:r>
    </w:p>
    <w:p w:rsidR="00000000" w:rsidDel="00000000" w:rsidP="00000000" w:rsidRDefault="00000000" w:rsidRPr="00000000">
      <w:pPr>
        <w:contextualSpacing w:val="0"/>
        <w:jc w:val="center"/>
        <w:rPr/>
      </w:pPr>
      <w:r w:rsidDel="00000000" w:rsidR="00000000" w:rsidRPr="00000000">
        <w:rPr>
          <w:rtl w:val="0"/>
        </w:rPr>
        <w:t xml:space="preserve">Md. Nazmul Alam</w:t>
      </w:r>
      <w:r w:rsidDel="00000000" w:rsidR="00000000" w:rsidRPr="00000000">
        <w:rPr>
          <w:vertAlign w:val="superscript"/>
          <w:rtl w:val="0"/>
        </w:rPr>
        <w:t xml:space="preserve">1</w:t>
      </w:r>
      <w:r w:rsidDel="00000000" w:rsidR="00000000" w:rsidRPr="00000000">
        <w:rPr>
          <w:rtl w:val="0"/>
        </w:rPr>
        <w:t xml:space="preserve">, Luis Ricardez-Sandoval</w:t>
      </w:r>
      <w:r w:rsidDel="00000000" w:rsidR="00000000" w:rsidRPr="00000000">
        <w:rPr>
          <w:vertAlign w:val="superscript"/>
          <w:rtl w:val="0"/>
        </w:rPr>
        <w:t xml:space="preserve">2</w:t>
      </w:r>
      <w:r w:rsidDel="00000000" w:rsidR="00000000" w:rsidRPr="00000000">
        <w:rPr>
          <w:rtl w:val="0"/>
        </w:rPr>
        <w:t xml:space="preserve">, Janusz Pawliszyn</w:t>
      </w:r>
      <w:r w:rsidDel="00000000" w:rsidR="00000000" w:rsidRPr="00000000">
        <w:rPr>
          <w:vertAlign w:val="superscript"/>
          <w:rtl w:val="0"/>
        </w:rPr>
        <w:t xml:space="preserve">1</w:t>
      </w:r>
      <w:r w:rsidDel="00000000" w:rsidR="00000000" w:rsidRPr="00000000">
        <w:rPr>
          <w:rtl w:val="0"/>
        </w:rPr>
        <w:t xml:space="preserv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vertAlign w:val="superscript"/>
          <w:rtl w:val="0"/>
        </w:rPr>
        <w:t xml:space="preserve">1*</w:t>
      </w:r>
      <w:r w:rsidDel="00000000" w:rsidR="00000000" w:rsidRPr="00000000">
        <w:rPr>
          <w:rtl w:val="0"/>
        </w:rPr>
        <w:t xml:space="preserve">Department of Chemistry, </w:t>
      </w:r>
      <w:r w:rsidDel="00000000" w:rsidR="00000000" w:rsidRPr="00000000">
        <w:rPr>
          <w:vertAlign w:val="superscript"/>
          <w:rtl w:val="0"/>
        </w:rPr>
        <w:t xml:space="preserve">2</w:t>
      </w:r>
      <w:r w:rsidDel="00000000" w:rsidR="00000000" w:rsidRPr="00000000">
        <w:rPr>
          <w:rtl w:val="0"/>
        </w:rPr>
        <w:t xml:space="preserve">Department of Chemical Engineering, University of Waterloo, Waterloo, N2L 3G1, Canada</w:t>
      </w:r>
    </w:p>
    <w:p w:rsidR="00000000" w:rsidDel="00000000" w:rsidP="00000000" w:rsidRDefault="00000000" w:rsidRPr="00000000">
      <w:pPr>
        <w:ind w:firstLine="0"/>
        <w:contextualSpacing w:val="0"/>
        <w:rPr/>
      </w:pPr>
      <w:r w:rsidDel="00000000" w:rsidR="00000000" w:rsidRPr="00000000">
        <w:rPr>
          <w:rtl w:val="0"/>
        </w:rPr>
        <w:t xml:space="preserve">Phone: 1- 519-888-4641. Fax: 1-519-746-0435. E-mail: janusz@uwaterloo.ca.</w:t>
      </w:r>
    </w:p>
    <w:p w:rsidR="00000000" w:rsidDel="00000000" w:rsidP="00000000" w:rsidRDefault="00000000" w:rsidRPr="00000000">
      <w:pPr>
        <w:spacing w:after="160" w:line="259" w:lineRule="auto"/>
        <w:ind w:firstLine="0"/>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pPr>
        <w:ind w:firstLine="0"/>
        <w:contextualSpacing w:val="0"/>
        <w:rPr>
          <w:b w:val="1"/>
        </w:rPr>
      </w:pPr>
      <w:r w:rsidDel="00000000" w:rsidR="00000000" w:rsidRPr="00000000">
        <w:rPr>
          <w:b w:val="1"/>
          <w:rtl w:val="0"/>
        </w:rPr>
        <w:t xml:space="preserve">MATHEMATICAL MODEL</w:t>
      </w:r>
    </w:p>
    <w:p w:rsidR="00000000" w:rsidDel="00000000" w:rsidP="00000000" w:rsidRDefault="00000000" w:rsidRPr="00000000">
      <w:pPr>
        <w:ind w:firstLine="0"/>
        <w:contextualSpacing w:val="0"/>
        <w:rPr>
          <w:b w:val="1"/>
        </w:rPr>
      </w:pPr>
      <w:r w:rsidDel="00000000" w:rsidR="00000000" w:rsidRPr="00000000">
        <w:rPr>
          <w:b w:val="1"/>
          <w:rtl w:val="0"/>
        </w:rPr>
        <w:t xml:space="preserve">Analyte transport in sample solution</w:t>
      </w:r>
    </w:p>
    <w:p w:rsidR="00000000" w:rsidDel="00000000" w:rsidP="00000000" w:rsidRDefault="00000000" w:rsidRPr="00000000">
      <w:pPr>
        <w:contextualSpacing w:val="0"/>
        <w:rPr/>
      </w:pPr>
      <w:r w:rsidDel="00000000" w:rsidR="00000000" w:rsidRPr="00000000">
        <w:rPr>
          <w:rtl w:val="0"/>
        </w:rPr>
        <w:t xml:space="preserve">The analytes are transported by diffusion and convection in the bulk solution. According to the Fick’s law, the following mass balances can be formulated to describe the time-dependent mass transport model for the present system:</w:t>
      </w:r>
    </w:p>
    <w:tbl>
      <w:tblPr>
        <w:tblStyle w:val="Table1"/>
        <w:tblW w:w="9384.0" w:type="dxa"/>
        <w:jc w:val="center"/>
        <w:tblLayout w:type="fixed"/>
        <w:tblLook w:val="0400"/>
      </w:tblPr>
      <w:tblGrid>
        <w:gridCol w:w="1481"/>
        <w:gridCol w:w="5927"/>
        <w:gridCol w:w="1976"/>
        <w:tblGridChange w:id="0">
          <w:tblGrid>
            <w:gridCol w:w="1481"/>
            <w:gridCol w:w="5927"/>
            <w:gridCol w:w="1976"/>
          </w:tblGrid>
        </w:tblGridChange>
      </w:tblGrid>
      <w:tr>
        <w:trPr>
          <w:trHeight w:val="480" w:hRule="atLeast"/>
        </w:trPr>
        <w:tc>
          <w:tcPr>
            <w:shd w:fill="auto" w:val="clea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432"/>
              <w:contextualSpacing w:val="0"/>
              <w:jc w:val="center"/>
              <w:rPr>
                <w:rFonts w:ascii="Cambria Math" w:cs="Cambria Math" w:eastAsia="Cambria Math" w:hAnsi="Cambria Math"/>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pPr>
              <w:contextualSpacing w:val="0"/>
              <w:jc w:val="center"/>
              <w:rPr>
                <w:rFonts w:ascii="Cambria Math" w:cs="Cambria Math" w:eastAsia="Cambria Math" w:hAnsi="Cambria Math"/>
                <w:b w:val="0"/>
                <w:i w:val="0"/>
                <w:smallCaps w:val="0"/>
                <w:strike w:val="0"/>
                <w:color w:val="000000"/>
                <w:sz w:val="24"/>
                <w:szCs w:val="24"/>
                <w:u w:val="none"/>
                <w:shd w:fill="auto" w:val="clear"/>
                <w:vertAlign w:val="baseline"/>
              </w:rPr>
            </w:pPr>
            <m:oMathPara>
              <m:oMathParaPr>
                <m:jc m:val="left"/>
              </m:oMathParaPr>
              <m:oMath>
                <m:f>
                  <m:fPr>
                    <m:ctrlPr>
                      <w:rPr>
                        <w:rFonts w:ascii="Cambria Math" w:cs="Cambria Math" w:eastAsia="Cambria Math" w:hAnsi="Cambria Math"/>
                        <w:b w:val="0"/>
                        <w:i w:val="0"/>
                        <w:smallCaps w:val="0"/>
                        <w:strike w:val="0"/>
                        <w:color w:val="000000"/>
                        <w:sz w:val="24"/>
                        <w:szCs w:val="24"/>
                        <w:u w:val="none"/>
                        <w:shd w:fill="auto" w:val="clear"/>
                        <w:vertAlign w:val="baseline"/>
                      </w:rPr>
                    </m:ctrlPr>
                  </m:fPr>
                  <m:num>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Sub>
                  </m:num>
                  <m:den>
                    <m:r>
                      <w:rPr>
                        <w:rFonts w:ascii="Cambria Math" w:cs="Cambria Math" w:eastAsia="Cambria Math" w:hAnsi="Cambria Math"/>
                        <w:b w:val="0"/>
                        <w:i w:val="0"/>
                        <w:smallCaps w:val="0"/>
                        <w:strike w:val="0"/>
                        <w:color w:val="000000"/>
                        <w:sz w:val="24"/>
                        <w:szCs w:val="24"/>
                        <w:u w:val="none"/>
                        <w:shd w:fill="auto" w:val="clear"/>
                        <w:vertAlign w:val="baseline"/>
                      </w:rPr>
                      <m:t xml:space="preserve">∂t</m:t>
                    </m:r>
                  </m:den>
                </m:f>
                <m:r>
                  <w:rPr>
                    <w:rFonts w:ascii="Cambria Math" w:cs="Cambria Math" w:eastAsia="Cambria Math" w:hAnsi="Cambria Math"/>
                    <w:b w:val="0"/>
                    <w:i w:val="0"/>
                    <w:smallCaps w:val="0"/>
                    <w:strike w:val="0"/>
                    <w:color w:val="000000"/>
                    <w:sz w:val="24"/>
                    <w:szCs w:val="24"/>
                    <w:u w:val="none"/>
                    <w:shd w:fill="auto" w:val="clear"/>
                    <w:vertAlign w:val="baseline"/>
                  </w:rPr>
                  <m:t xml:space="preserve">+u∙∇</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D</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s</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m:t>
                </m:r>
              </m:oMath>
            </m:oMathPara>
            <w:r w:rsidDel="00000000" w:rsidR="00000000" w:rsidRPr="00000000">
              <w:rPr>
                <w:rtl w:val="0"/>
              </w:rPr>
            </w:r>
          </w:p>
        </w:tc>
        <w:tc>
          <w:tcPr>
            <w:shd w:fill="auto" w:val="clea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pPr>
        <w:ind w:firstLine="0"/>
        <w:contextualSpacing w:val="0"/>
        <w:rPr/>
      </w:pPr>
      <w:r w:rsidDel="00000000" w:rsidR="00000000" w:rsidRPr="00000000">
        <w:rPr>
          <w:rtl w:val="0"/>
        </w:rPr>
        <w:t xml:space="preserve">where </w:t>
      </w:r>
      <w:r w:rsidDel="00000000" w:rsidR="00000000" w:rsidRPr="00000000">
        <w:rPr>
          <w:i w:val="1"/>
          <w:rtl w:val="0"/>
        </w:rPr>
        <w:t xml:space="preserve">C</w:t>
      </w:r>
      <w:r w:rsidDel="00000000" w:rsidR="00000000" w:rsidRPr="00000000">
        <w:rPr>
          <w:i w:val="1"/>
          <w:vertAlign w:val="subscript"/>
          <w:rtl w:val="0"/>
        </w:rPr>
        <w:t xml:space="preserve">A </w:t>
      </w:r>
      <w:r w:rsidDel="00000000" w:rsidR="00000000" w:rsidRPr="00000000">
        <w:rPr>
          <w:rtl w:val="0"/>
        </w:rPr>
        <w:t xml:space="preserve">denote the concentrations (mol m</w:t>
      </w:r>
      <w:r w:rsidDel="00000000" w:rsidR="00000000" w:rsidRPr="00000000">
        <w:rPr>
          <w:vertAlign w:val="superscript"/>
          <w:rtl w:val="0"/>
        </w:rPr>
        <w:t xml:space="preserve">‒3</w:t>
      </w:r>
      <w:r w:rsidDel="00000000" w:rsidR="00000000" w:rsidRPr="00000000">
        <w:rPr>
          <w:rtl w:val="0"/>
        </w:rPr>
        <w:t xml:space="preserve">) of the analyte </w:t>
      </w:r>
      <w:r w:rsidDel="00000000" w:rsidR="00000000" w:rsidRPr="00000000">
        <w:rPr>
          <w:i w:val="1"/>
          <w:rtl w:val="0"/>
        </w:rPr>
        <w:t xml:space="preserve">A</w:t>
      </w:r>
      <w:r w:rsidDel="00000000" w:rsidR="00000000" w:rsidRPr="00000000">
        <w:rPr>
          <w:rtl w:val="0"/>
        </w:rPr>
        <w:t xml:space="preserve"> in the bulk solution phase; </w:t>
      </w:r>
      <w:r w:rsidDel="00000000" w:rsidR="00000000" w:rsidRPr="00000000">
        <w:rPr>
          <w:i w:val="1"/>
          <w:rtl w:val="0"/>
        </w:rPr>
        <w:t xml:space="preserve">D</w:t>
      </w:r>
      <w:r w:rsidDel="00000000" w:rsidR="00000000" w:rsidRPr="00000000">
        <w:rPr>
          <w:i w:val="1"/>
          <w:vertAlign w:val="subscript"/>
          <w:rtl w:val="0"/>
        </w:rPr>
        <w:t xml:space="preserve">s </w:t>
      </w:r>
      <w:r w:rsidDel="00000000" w:rsidR="00000000" w:rsidRPr="00000000">
        <w:rPr>
          <w:rtl w:val="0"/>
        </w:rPr>
        <w:t xml:space="preserve">is the diffusivity coefficient (m</w:t>
      </w:r>
      <w:r w:rsidDel="00000000" w:rsidR="00000000" w:rsidRPr="00000000">
        <w:rPr>
          <w:vertAlign w:val="superscript"/>
          <w:rtl w:val="0"/>
        </w:rPr>
        <w:t xml:space="preserve">2 </w:t>
      </w:r>
      <w:r w:rsidDel="00000000" w:rsidR="00000000" w:rsidRPr="00000000">
        <w:rPr>
          <w:rtl w:val="0"/>
        </w:rPr>
        <w:t xml:space="preserve">s</w:t>
      </w:r>
      <w:r w:rsidDel="00000000" w:rsidR="00000000" w:rsidRPr="00000000">
        <w:rPr>
          <w:vertAlign w:val="superscript"/>
          <w:rtl w:val="0"/>
        </w:rPr>
        <w:t xml:space="preserve">-1</w:t>
      </w:r>
      <w:r w:rsidDel="00000000" w:rsidR="00000000" w:rsidRPr="00000000">
        <w:rPr>
          <w:rtl w:val="0"/>
        </w:rPr>
        <w:t xml:space="preserve">) in the solution phase; </w:t>
      </w:r>
      <w:r w:rsidDel="00000000" w:rsidR="00000000" w:rsidRPr="00000000">
        <w:rPr>
          <w:b w:val="1"/>
          <w:i w:val="1"/>
          <w:rtl w:val="0"/>
        </w:rPr>
        <w:t xml:space="preserve">u </w:t>
      </w:r>
      <w:r w:rsidDel="00000000" w:rsidR="00000000" w:rsidRPr="00000000">
        <w:rPr>
          <w:rtl w:val="0"/>
        </w:rPr>
        <w:t xml:space="preserve">denotes the velocity field (m s</w:t>
      </w:r>
      <w:r w:rsidDel="00000000" w:rsidR="00000000" w:rsidRPr="00000000">
        <w:rPr>
          <w:vertAlign w:val="superscript"/>
          <w:rtl w:val="0"/>
        </w:rPr>
        <w:t xml:space="preserve">‒1</w:t>
      </w:r>
      <w:r w:rsidDel="00000000" w:rsidR="00000000" w:rsidRPr="00000000">
        <w:rPr>
          <w:rtl w:val="0"/>
        </w:rPr>
        <w:t xml:space="preserve">) and that is obtained from the solution of the momentum transport model governed by the Navier-Stokes equations. </w:t>
      </w:r>
    </w:p>
    <w:p w:rsidR="00000000" w:rsidDel="00000000" w:rsidP="00000000" w:rsidRDefault="00000000" w:rsidRPr="00000000">
      <w:pPr>
        <w:ind w:firstLine="0"/>
        <w:contextualSpacing w:val="0"/>
        <w:jc w:val="left"/>
        <w:rPr>
          <w:b w:val="1"/>
        </w:rPr>
      </w:pPr>
      <w:r w:rsidDel="00000000" w:rsidR="00000000" w:rsidRPr="00000000">
        <w:rPr>
          <w:b w:val="1"/>
          <w:rtl w:val="0"/>
        </w:rPr>
        <w:t xml:space="preserve">Adsorption on the surface of extractants</w:t>
      </w:r>
    </w:p>
    <w:p w:rsidR="00000000" w:rsidDel="00000000" w:rsidP="00000000" w:rsidRDefault="00000000" w:rsidRPr="00000000">
      <w:pPr>
        <w:contextualSpacing w:val="0"/>
        <w:rPr/>
      </w:pPr>
      <w:r w:rsidDel="00000000" w:rsidR="00000000" w:rsidRPr="00000000">
        <w:rPr>
          <w:rtl w:val="0"/>
        </w:rPr>
        <w:t xml:space="preserve">Previous studies have shown that Langmuir adsorption isotherm describes equilibrium analyte extraction by solid coatings.</w:t>
      </w:r>
      <w:hyperlink w:anchor="_3znysh7">
        <w:r w:rsidDel="00000000" w:rsidR="00000000" w:rsidRPr="00000000">
          <w:rPr>
            <w:vertAlign w:val="superscript"/>
            <w:rtl w:val="0"/>
          </w:rPr>
          <w:t xml:space="preserve">11</w:t>
        </w:r>
      </w:hyperlink>
      <w:r w:rsidDel="00000000" w:rsidR="00000000" w:rsidRPr="00000000">
        <w:rPr>
          <w:vertAlign w:val="superscript"/>
          <w:rtl w:val="0"/>
        </w:rPr>
        <w:t xml:space="preserve">, </w:t>
      </w:r>
      <w:hyperlink w:anchor="_2et92p0">
        <w:r w:rsidDel="00000000" w:rsidR="00000000" w:rsidRPr="00000000">
          <w:rPr>
            <w:vertAlign w:val="superscript"/>
            <w:rtl w:val="0"/>
          </w:rPr>
          <w:t xml:space="preserve">12</w:t>
        </w:r>
      </w:hyperlink>
      <w:r w:rsidDel="00000000" w:rsidR="00000000" w:rsidRPr="00000000">
        <w:rPr>
          <w:rtl w:val="0"/>
        </w:rPr>
        <w:t xml:space="preserve"> The Langmuir isotherm model uses the active sites concept in the adsorption expression to describe the effect of the adsorption rate as a function of the coverage of the coating. Therefore, this model has been used in this study to develop the theoretical description of the adsorption process. Adsorption is treated as a one-step reversible reaction where an analyte molecule </w:t>
      </w:r>
      <w:r w:rsidDel="00000000" w:rsidR="00000000" w:rsidRPr="00000000">
        <w:rPr>
          <w:i w:val="1"/>
          <w:rtl w:val="0"/>
        </w:rPr>
        <w:t xml:space="preserve">A</w:t>
      </w:r>
      <w:r w:rsidDel="00000000" w:rsidR="00000000" w:rsidRPr="00000000">
        <w:rPr>
          <w:rtl w:val="0"/>
        </w:rPr>
        <w:t xml:space="preserve"> in solution (of bulk concentration C) reacts with the active site of the sorbent </w:t>
      </w:r>
      <w:r w:rsidDel="00000000" w:rsidR="00000000" w:rsidRPr="00000000">
        <w:rPr>
          <w:i w:val="1"/>
          <w:rtl w:val="0"/>
        </w:rPr>
        <w:t xml:space="preserve">S</w:t>
      </w:r>
      <w:r w:rsidDel="00000000" w:rsidR="00000000" w:rsidRPr="00000000">
        <w:rPr>
          <w:rtl w:val="0"/>
        </w:rPr>
        <w:t xml:space="preserve"> for adsorption on the surface to yield an adsorbed complex </w:t>
      </w:r>
      <w:r w:rsidDel="00000000" w:rsidR="00000000" w:rsidRPr="00000000">
        <w:rPr>
          <w:i w:val="1"/>
          <w:rtl w:val="0"/>
        </w:rPr>
        <w:t xml:space="preserve">AS</w:t>
      </w:r>
      <w:r w:rsidDel="00000000" w:rsidR="00000000" w:rsidRPr="00000000">
        <w:rPr>
          <w:rtl w:val="0"/>
        </w:rPr>
        <w:t xml:space="preserve"> immobilized onto the active sites of the coating, i.e.</w:t>
      </w:r>
    </w:p>
    <w:tbl>
      <w:tblPr>
        <w:tblStyle w:val="Table2"/>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85"/>
        <w:gridCol w:w="5760"/>
        <w:gridCol w:w="1705"/>
        <w:tblGridChange w:id="0">
          <w:tblGrid>
            <w:gridCol w:w="1885"/>
            <w:gridCol w:w="5760"/>
            <w:gridCol w:w="1705"/>
          </w:tblGrid>
        </w:tblGridChange>
      </w:tblGrid>
      <w:tr>
        <w:tc>
          <w:tcPr/>
          <w:p w:rsidR="00000000" w:rsidDel="00000000" w:rsidP="00000000" w:rsidRDefault="00000000" w:rsidRPr="00000000">
            <w:pPr>
              <w:spacing w:after="0" w:line="360" w:lineRule="auto"/>
              <w:contextualSpacing w:val="0"/>
              <w:jc w:val="center"/>
              <w:rPr/>
            </w:pPr>
            <w:r w:rsidDel="00000000" w:rsidR="00000000" w:rsidRPr="00000000">
              <w:rPr>
                <w:rtl w:val="0"/>
              </w:rPr>
            </w:r>
          </w:p>
        </w:tc>
        <w:tc>
          <w:tcPr/>
          <w:p w:rsidR="00000000" w:rsidDel="00000000" w:rsidP="00000000" w:rsidRDefault="00000000" w:rsidRPr="00000000">
            <w:pPr>
              <w:spacing w:after="0" w:line="360" w:lineRule="auto"/>
              <w:contextualSpacing w:val="0"/>
              <w:jc w:val="center"/>
              <w:rPr/>
            </w:pPr>
            <w:r w:rsidDel="00000000" w:rsidR="00000000" w:rsidRPr="00000000">
              <w:rPr/>
              <w:drawing>
                <wp:inline distB="0" distT="0" distL="0" distR="0">
                  <wp:extent cx="1183005" cy="670560"/>
                  <wp:effectExtent b="0" l="0" r="0" t="0"/>
                  <wp:docPr id="1" name="image4.png"/>
                  <a:graphic>
                    <a:graphicData uri="http://schemas.openxmlformats.org/drawingml/2006/picture">
                      <pic:pic>
                        <pic:nvPicPr>
                          <pic:cNvPr id="0" name="image4.png"/>
                          <pic:cNvPicPr preferRelativeResize="0"/>
                        </pic:nvPicPr>
                        <pic:blipFill>
                          <a:blip r:embed="rId5"/>
                          <a:srcRect b="0" l="0" r="0" t="0"/>
                          <a:stretch>
                            <a:fillRect/>
                          </a:stretch>
                        </pic:blipFill>
                        <pic:spPr>
                          <a:xfrm>
                            <a:off x="0" y="0"/>
                            <a:ext cx="1183005" cy="67056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bl>
    <w:p w:rsidR="00000000" w:rsidDel="00000000" w:rsidP="00000000" w:rsidRDefault="00000000" w:rsidRPr="00000000">
      <w:pPr>
        <w:ind w:firstLine="0"/>
        <w:contextualSpacing w:val="0"/>
        <w:rPr/>
      </w:pPr>
      <w:r w:rsidDel="00000000" w:rsidR="00000000" w:rsidRPr="00000000">
        <w:rPr>
          <w:rtl w:val="0"/>
        </w:rPr>
        <w:t xml:space="preserve">The constants </w:t>
      </w:r>
      <w:r w:rsidDel="00000000" w:rsidR="00000000" w:rsidRPr="00000000">
        <w:rPr>
          <w:i w:val="1"/>
          <w:rtl w:val="0"/>
        </w:rPr>
        <w:t xml:space="preserve">k</w:t>
      </w:r>
      <w:r w:rsidDel="00000000" w:rsidR="00000000" w:rsidRPr="00000000">
        <w:rPr>
          <w:i w:val="1"/>
          <w:vertAlign w:val="subscript"/>
          <w:rtl w:val="0"/>
        </w:rPr>
        <w:t xml:space="preserve">ads</w:t>
      </w:r>
      <w:r w:rsidDel="00000000" w:rsidR="00000000" w:rsidRPr="00000000">
        <w:rPr>
          <w:rtl w:val="0"/>
        </w:rPr>
        <w:t xml:space="preserve"> and </w:t>
      </w:r>
      <w:r w:rsidDel="00000000" w:rsidR="00000000" w:rsidRPr="00000000">
        <w:rPr>
          <w:i w:val="1"/>
          <w:rtl w:val="0"/>
        </w:rPr>
        <w:t xml:space="preserve">k</w:t>
      </w:r>
      <w:r w:rsidDel="00000000" w:rsidR="00000000" w:rsidRPr="00000000">
        <w:rPr>
          <w:i w:val="1"/>
          <w:vertAlign w:val="subscript"/>
          <w:rtl w:val="0"/>
        </w:rPr>
        <w:t xml:space="preserve">des</w:t>
      </w:r>
      <w:r w:rsidDel="00000000" w:rsidR="00000000" w:rsidRPr="00000000">
        <w:rPr>
          <w:rtl w:val="0"/>
        </w:rPr>
        <w:t xml:space="preserve"> represent the rate constants of adsorption and desorption of the analyte onto the active sites, respectively. The maximum attainable surface concentration of the immobilized complex is </w:t>
      </w:r>
      <w:r w:rsidDel="00000000" w:rsidR="00000000" w:rsidRPr="00000000">
        <w:rPr>
          <w:i w:val="1"/>
          <w:rtl w:val="0"/>
        </w:rPr>
        <w:t xml:space="preserve">Γ</w:t>
      </w:r>
      <w:r w:rsidDel="00000000" w:rsidR="00000000" w:rsidRPr="00000000">
        <w:rPr>
          <w:i w:val="1"/>
          <w:vertAlign w:val="subscript"/>
          <w:rtl w:val="0"/>
        </w:rPr>
        <w:t xml:space="preserve">max</w:t>
      </w:r>
      <w:r w:rsidDel="00000000" w:rsidR="00000000" w:rsidRPr="00000000">
        <w:rPr>
          <w:vertAlign w:val="subscript"/>
          <w:rtl w:val="0"/>
        </w:rPr>
        <w:t xml:space="preserve"> </w:t>
      </w:r>
      <w:r w:rsidDel="00000000" w:rsidR="00000000" w:rsidRPr="00000000">
        <w:rPr>
          <w:rtl w:val="0"/>
        </w:rPr>
        <w:t xml:space="preserve">(mol cm</w:t>
      </w:r>
      <w:r w:rsidDel="00000000" w:rsidR="00000000" w:rsidRPr="00000000">
        <w:rPr>
          <w:vertAlign w:val="superscript"/>
          <w:rtl w:val="0"/>
        </w:rPr>
        <w:t xml:space="preserve">‒2</w:t>
      </w:r>
      <w:r w:rsidDel="00000000" w:rsidR="00000000" w:rsidRPr="00000000">
        <w:rPr>
          <w:rtl w:val="0"/>
        </w:rPr>
        <w:t xml:space="preserve">); the surface concentration at time </w:t>
      </w:r>
      <w:r w:rsidDel="00000000" w:rsidR="00000000" w:rsidRPr="00000000">
        <w:rPr>
          <w:i w:val="1"/>
          <w:rtl w:val="0"/>
        </w:rPr>
        <w:t xml:space="preserve">t</w:t>
      </w:r>
      <w:r w:rsidDel="00000000" w:rsidR="00000000" w:rsidRPr="00000000">
        <w:rPr>
          <w:rtl w:val="0"/>
        </w:rPr>
        <w:t xml:space="preserve"> is </w:t>
      </w:r>
      <w:r w:rsidDel="00000000" w:rsidR="00000000" w:rsidRPr="00000000">
        <w:rPr>
          <w:i w:val="1"/>
          <w:rtl w:val="0"/>
        </w:rPr>
        <w:t xml:space="preserve">Γ(t)</w:t>
      </w:r>
      <w:r w:rsidDel="00000000" w:rsidR="00000000" w:rsidRPr="00000000">
        <w:rPr>
          <w:rtl w:val="0"/>
        </w:rPr>
        <w:t xml:space="preserve">. Therefore, the free active site concentration at any time </w:t>
      </w:r>
      <w:r w:rsidDel="00000000" w:rsidR="00000000" w:rsidRPr="00000000">
        <w:rPr>
          <w:i w:val="1"/>
          <w:rtl w:val="0"/>
        </w:rPr>
        <w:t xml:space="preserve">t</w:t>
      </w:r>
      <w:r w:rsidDel="00000000" w:rsidR="00000000" w:rsidRPr="00000000">
        <w:rPr>
          <w:rtl w:val="0"/>
        </w:rPr>
        <w:t xml:space="preserve"> is given by </w:t>
      </w:r>
      <w:r w:rsidDel="00000000" w:rsidR="00000000" w:rsidRPr="00000000">
        <w:rPr>
          <w:i w:val="1"/>
          <w:rtl w:val="0"/>
        </w:rPr>
        <w:t xml:space="preserve">Γ</w:t>
      </w:r>
      <w:r w:rsidDel="00000000" w:rsidR="00000000" w:rsidRPr="00000000">
        <w:rPr>
          <w:i w:val="1"/>
          <w:vertAlign w:val="subscript"/>
          <w:rtl w:val="0"/>
        </w:rPr>
        <w:t xml:space="preserve">max </w:t>
      </w:r>
      <w:r w:rsidDel="00000000" w:rsidR="00000000" w:rsidRPr="00000000">
        <w:rPr>
          <w:i w:val="1"/>
          <w:rtl w:val="0"/>
        </w:rPr>
        <w:t xml:space="preserve">- Γ(t)</w:t>
      </w:r>
      <w:r w:rsidDel="00000000" w:rsidR="00000000" w:rsidRPr="00000000">
        <w:rPr>
          <w:rtl w:val="0"/>
        </w:rPr>
        <w:t xml:space="preserve">. Accordingly, the kinetics of the process is described as follows: the mass balance for adsorbed analyte at the coating surface, including surface diffusion and the reaction for its formation, can be described by the following equation,</w:t>
      </w:r>
    </w:p>
    <w:tbl>
      <w:tblPr>
        <w:tblStyle w:val="Table3"/>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60"/>
        <w:gridCol w:w="6385"/>
        <w:gridCol w:w="1705"/>
        <w:tblGridChange w:id="0">
          <w:tblGrid>
            <w:gridCol w:w="1260"/>
            <w:gridCol w:w="6385"/>
            <w:gridCol w:w="1705"/>
          </w:tblGrid>
        </w:tblGridChange>
      </w:tblGrid>
      <w:tr>
        <w:tc>
          <w:tcPr/>
          <w:p w:rsidR="00000000" w:rsidDel="00000000" w:rsidP="00000000" w:rsidRDefault="00000000" w:rsidRPr="00000000">
            <w:pPr>
              <w:contextualSpacing w:val="0"/>
              <w:rPr/>
            </w:pPr>
            <w:r w:rsidDel="00000000" w:rsidR="00000000" w:rsidRPr="00000000">
              <w:rPr>
                <w:rtl w:val="0"/>
              </w:rPr>
            </w:r>
          </w:p>
        </w:tc>
        <w:tc>
          <w:tcPr/>
          <w:p w:rsidR="00000000" w:rsidDel="00000000" w:rsidP="00000000" w:rsidRDefault="00000000" w:rsidRPr="00000000">
            <w:pPr>
              <w:contextualSpacing w:val="0"/>
              <w:jc w:val="center"/>
              <w:rPr>
                <w:rFonts w:ascii="Cambria Math" w:cs="Cambria Math" w:eastAsia="Cambria Math" w:hAnsi="Cambria Math"/>
                <w:b w:val="0"/>
                <w:i w:val="0"/>
                <w:smallCaps w:val="0"/>
                <w:strike w:val="0"/>
                <w:color w:val="000000"/>
                <w:sz w:val="24"/>
                <w:szCs w:val="24"/>
                <w:u w:val="none"/>
                <w:shd w:fill="auto" w:val="clear"/>
                <w:vertAlign w:val="baseline"/>
              </w:rPr>
            </w:pPr>
            <m:oMathPara>
              <m:oMathParaPr>
                <m:jc m:val="left"/>
              </m:oMathParaPr>
              <m:oMath>
                <m:f>
                  <m:fPr>
                    <m:ctrlPr>
                      <w:rPr>
                        <w:rFonts w:ascii="Cambria Math" w:cs="Cambria Math" w:eastAsia="Cambria Math" w:hAnsi="Cambria Math"/>
                        <w:b w:val="0"/>
                        <w:i w:val="0"/>
                        <w:smallCaps w:val="0"/>
                        <w:strike w:val="0"/>
                        <w:color w:val="000000"/>
                        <w:sz w:val="24"/>
                        <w:szCs w:val="24"/>
                        <w:u w:val="none"/>
                        <w:shd w:fill="auto" w:val="clear"/>
                        <w:vertAlign w:val="baseline"/>
                      </w:rPr>
                    </m:ctrlPr>
                  </m:fPr>
                  <m:num>
                    <m:r>
                      <w:rPr>
                        <w:rFonts w:ascii="Cambria Math" w:cs="Cambria Math" w:eastAsia="Cambria Math" w:hAnsi="Cambria Math"/>
                        <w:b w:val="0"/>
                        <w:i w:val="0"/>
                        <w:smallCaps w:val="0"/>
                        <w:strike w:val="0"/>
                        <w:color w:val="000000"/>
                        <w:sz w:val="24"/>
                        <w:szCs w:val="24"/>
                        <w:u w:val="none"/>
                        <w:shd w:fill="auto" w:val="clear"/>
                        <w:vertAlign w:val="baseline"/>
                      </w:rPr>
                      <m:t xml:space="preserve">dΓ(t)</m:t>
                    </m:r>
                  </m:num>
                  <m:den>
                    <m:r>
                      <w:rPr>
                        <w:rFonts w:ascii="Cambria Math" w:cs="Cambria Math" w:eastAsia="Cambria Math" w:hAnsi="Cambria Math"/>
                        <w:b w:val="0"/>
                        <w:i w:val="0"/>
                        <w:smallCaps w:val="0"/>
                        <w:strike w:val="0"/>
                        <w:color w:val="000000"/>
                        <w:sz w:val="24"/>
                        <w:szCs w:val="24"/>
                        <w:u w:val="none"/>
                        <w:shd w:fill="auto" w:val="clear"/>
                        <w:vertAlign w:val="baseline"/>
                      </w:rPr>
                      <m:t xml:space="preserve">dt</m:t>
                    </m:r>
                  </m:den>
                </m:f>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Sup>
                  <m:sSubSupPr>
                    <m:ctrlPr>
                      <w:rPr>
                        <w:rFonts w:ascii="Cambria Math" w:cs="Cambria Math" w:eastAsia="Cambria Math" w:hAnsi="Cambria Math"/>
                        <w:b w:val="0"/>
                        <w:i w:val="0"/>
                        <w:smallCaps w:val="0"/>
                        <w:strike w:val="0"/>
                        <w:color w:val="000000"/>
                        <w:sz w:val="24"/>
                        <w:szCs w:val="24"/>
                        <w:u w:val="none"/>
                        <w:shd w:fill="auto" w:val="clear"/>
                        <w:vertAlign w:val="baseline"/>
                      </w:rPr>
                    </m:ctrlPr>
                  </m:sSubSupPr>
                  <m:e>
                    <m:r>
                      <w:rPr>
                        <w:rFonts w:ascii="Cambria Math" w:cs="Cambria Math" w:eastAsia="Cambria Math" w:hAnsi="Cambria Math"/>
                        <w:b w:val="0"/>
                        <w:i w:val="0"/>
                        <w:smallCaps w:val="0"/>
                        <w:strike w:val="0"/>
                        <w:color w:val="000000"/>
                        <w:sz w:val="24"/>
                        <w:szCs w:val="24"/>
                        <w:u w:val="none"/>
                        <w:shd w:fill="auto" w:val="clear"/>
                        <w:vertAlign w:val="baseline"/>
                      </w:rPr>
                      <m:t xml:space="preserve">D</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up>
                    <m:r>
                      <w:rPr>
                        <w:rFonts w:ascii="Cambria Math" w:cs="Cambria Math" w:eastAsia="Cambria Math" w:hAnsi="Cambria Math"/>
                        <w:b w:val="0"/>
                        <w:i w:val="0"/>
                        <w:smallCaps w:val="0"/>
                        <w:strike w:val="0"/>
                        <w:color w:val="000000"/>
                        <w:sz w:val="24"/>
                        <w:szCs w:val="24"/>
                        <w:u w:val="none"/>
                        <w:shd w:fill="auto" w:val="clear"/>
                        <w:vertAlign w:val="baseline"/>
                      </w:rPr>
                      <m:t xml:space="preserve">e</m:t>
                    </m:r>
                  </m:sup>
                </m:sSubSup>
                <m:sSup>
                  <m:sSupPr>
                    <m:ctrlPr>
                      <w:rPr>
                        <w:rFonts w:ascii="Cambria Math" w:cs="Cambria Math" w:eastAsia="Cambria Math" w:hAnsi="Cambria Math"/>
                        <w:b w:val="0"/>
                        <w:i w:val="0"/>
                        <w:smallCaps w:val="0"/>
                        <w:strike w:val="0"/>
                        <w:color w:val="000000"/>
                        <w:sz w:val="24"/>
                        <w:szCs w:val="24"/>
                        <w:u w:val="none"/>
                        <w:shd w:fill="auto" w:val="clear"/>
                        <w:vertAlign w:val="baseline"/>
                      </w:rPr>
                    </m:ctrlPr>
                  </m:sSupPr>
                  <m:e>
                    <m:r>
                      <w:rPr>
                        <w:rFonts w:ascii="Cambria Math" w:cs="Cambria Math" w:eastAsia="Cambria Math" w:hAnsi="Cambria Math"/>
                        <w:b w:val="0"/>
                        <w:i w:val="0"/>
                        <w:smallCaps w:val="0"/>
                        <w:strike w:val="0"/>
                        <w:color w:val="000000"/>
                        <w:sz w:val="24"/>
                        <w:szCs w:val="24"/>
                        <w:u w:val="none"/>
                        <w:shd w:fill="auto" w:val="clear"/>
                        <w:vertAlign w:val="baseline"/>
                      </w:rPr>
                      <m:t xml:space="preserve">∇</m:t>
                    </m:r>
                  </m:e>
                  <m:sup>
                    <m:r>
                      <w:rPr>
                        <w:rFonts w:ascii="Cambria Math" w:cs="Cambria Math" w:eastAsia="Cambria Math" w:hAnsi="Cambria Math"/>
                        <w:b w:val="0"/>
                        <w:i w:val="0"/>
                        <w:smallCaps w:val="0"/>
                        <w:strike w:val="0"/>
                        <w:color w:val="000000"/>
                        <w:sz w:val="24"/>
                        <w:szCs w:val="24"/>
                        <w:u w:val="none"/>
                        <w:shd w:fill="auto" w:val="clear"/>
                        <w:vertAlign w:val="baseline"/>
                      </w:rPr>
                      <m:t xml:space="preserve">2</m:t>
                    </m:r>
                  </m:sup>
                </m:sSup>
                <m:sSubSup>
                  <m:sSubSupPr>
                    <m:ctrlPr>
                      <w:rPr>
                        <w:rFonts w:ascii="Cambria Math" w:cs="Cambria Math" w:eastAsia="Cambria Math" w:hAnsi="Cambria Math"/>
                        <w:b w:val="0"/>
                        <w:i w:val="0"/>
                        <w:smallCaps w:val="0"/>
                        <w:strike w:val="0"/>
                        <w:color w:val="000000"/>
                        <w:sz w:val="24"/>
                        <w:szCs w:val="24"/>
                        <w:u w:val="none"/>
                        <w:shd w:fill="auto" w:val="clear"/>
                        <w:vertAlign w:val="baseline"/>
                      </w:rPr>
                    </m:ctrlPr>
                  </m:sSubSup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up>
                    <m:r>
                      <w:rPr>
                        <w:rFonts w:ascii="Cambria Math" w:cs="Cambria Math" w:eastAsia="Cambria Math" w:hAnsi="Cambria Math"/>
                        <w:b w:val="0"/>
                        <w:i w:val="0"/>
                        <w:smallCaps w:val="0"/>
                        <w:strike w:val="0"/>
                        <w:color w:val="000000"/>
                        <w:sz w:val="24"/>
                        <w:szCs w:val="24"/>
                        <w:u w:val="none"/>
                        <w:shd w:fill="auto" w:val="clear"/>
                        <w:vertAlign w:val="baseline"/>
                      </w:rPr>
                      <m:t xml:space="preserve">e</m:t>
                    </m:r>
                  </m:sup>
                </m:sSubSup>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k</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ads</m:t>
                    </m:r>
                  </m:sub>
                </m:sSub>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A</m:t>
                    </m:r>
                  </m:sub>
                </m:sSub>
                <m:r>
                  <w:rPr>
                    <w:rFonts w:ascii="Times New Roman" w:cs="Times New Roman" w:eastAsia="Times New Roman" w:hAnsi="Times New Roman"/>
                    <w:b w:val="0"/>
                    <w:i w:val="0"/>
                    <w:smallCaps w:val="0"/>
                    <w:strike w:val="0"/>
                    <w:color w:val="000000"/>
                    <w:sz w:val="24"/>
                    <w:szCs w:val="24"/>
                    <w:u w:val="none"/>
                    <w:shd w:fill="auto" w:val="clear"/>
                    <w:vertAlign w:val="baseline"/>
                  </w:rPr>
                  <m:t xml:space="preserve">(</m:t>
                </m:r>
                <m:r>
                  <w:rPr>
                    <w:rFonts w:ascii="Cambria Math" w:cs="Cambria Math" w:eastAsia="Cambria Math" w:hAnsi="Cambria Math"/>
                    <w:b w:val="0"/>
                    <w:i w:val="0"/>
                    <w:smallCaps w:val="0"/>
                    <w:strike w:val="0"/>
                    <w:color w:val="000000"/>
                    <w:sz w:val="24"/>
                    <w:szCs w:val="24"/>
                    <w:u w:val="none"/>
                    <w:shd w:fill="auto" w:val="clear"/>
                    <w:vertAlign w:val="baseline"/>
                  </w:rPr>
                  <m:t xml:space="preserve">t</m:t>
                </m:r>
                <m:r>
                  <w:rPr>
                    <w:rFonts w:ascii="Times New Roman" w:cs="Times New Roman" w:eastAsia="Times New Roman" w:hAnsi="Times New Roman"/>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Γ</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max</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-Γ</m:t>
                </m:r>
                <m:r>
                  <w:rPr>
                    <w:rFonts w:ascii="Times New Roman" w:cs="Times New Roman" w:eastAsia="Times New Roman" w:hAnsi="Times New Roman"/>
                    <w:b w:val="0"/>
                    <w:i w:val="0"/>
                    <w:smallCaps w:val="0"/>
                    <w:strike w:val="0"/>
                    <w:color w:val="000000"/>
                    <w:sz w:val="24"/>
                    <w:szCs w:val="24"/>
                    <w:u w:val="none"/>
                    <w:shd w:fill="auto" w:val="clear"/>
                    <w:vertAlign w:val="baseline"/>
                  </w:rPr>
                  <m:t xml:space="preserve">(</m:t>
                </m:r>
                <m:r>
                  <w:rPr>
                    <w:rFonts w:ascii="Cambria Math" w:cs="Cambria Math" w:eastAsia="Cambria Math" w:hAnsi="Cambria Math"/>
                    <w:b w:val="0"/>
                    <w:i w:val="0"/>
                    <w:smallCaps w:val="0"/>
                    <w:strike w:val="0"/>
                    <w:color w:val="000000"/>
                    <w:sz w:val="24"/>
                    <w:szCs w:val="24"/>
                    <w:u w:val="none"/>
                    <w:shd w:fill="auto" w:val="clear"/>
                    <w:vertAlign w:val="baseline"/>
                  </w:rPr>
                  <m:t xml:space="preserve">t</m:t>
                </m:r>
                <m:r>
                  <w:rPr>
                    <w:rFonts w:ascii="Times New Roman" w:cs="Times New Roman" w:eastAsia="Times New Roman" w:hAnsi="Times New Roman"/>
                    <w:b w:val="0"/>
                    <w:i w:val="0"/>
                    <w:smallCaps w:val="0"/>
                    <w:strike w:val="0"/>
                    <w:color w:val="000000"/>
                    <w:sz w:val="24"/>
                    <w:szCs w:val="24"/>
                    <w:u w:val="none"/>
                    <w:shd w:fill="auto" w:val="clear"/>
                    <w:vertAlign w:val="baseline"/>
                  </w:rPr>
                  <m:t xml:space="preserve">))</m:t>
                </m:r>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k</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des</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Γ(t)</m:t>
                </m:r>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r>
    </w:tbl>
    <w:p w:rsidR="00000000" w:rsidDel="00000000" w:rsidP="00000000" w:rsidRDefault="00000000" w:rsidRPr="00000000">
      <w:pPr>
        <w:ind w:firstLine="0"/>
        <w:contextualSpacing w:val="0"/>
        <w:rPr/>
      </w:pPr>
      <w:r w:rsidDel="00000000" w:rsidR="00000000" w:rsidRPr="00000000">
        <w:rPr>
          <w:rtl w:val="0"/>
        </w:rPr>
        <w:t xml:space="preserve">where </w:t>
      </w:r>
      <w:r w:rsidDel="00000000" w:rsidR="00000000" w:rsidRPr="00000000">
        <w:rPr>
          <w:i w:val="1"/>
          <w:rtl w:val="0"/>
        </w:rPr>
        <w:t xml:space="preserve">D</w:t>
      </w:r>
      <w:r w:rsidDel="00000000" w:rsidR="00000000" w:rsidRPr="00000000">
        <w:rPr>
          <w:i w:val="1"/>
          <w:vertAlign w:val="subscript"/>
          <w:rtl w:val="0"/>
        </w:rPr>
        <w:t xml:space="preserve">A</w:t>
      </w:r>
      <w:r w:rsidDel="00000000" w:rsidR="00000000" w:rsidRPr="00000000">
        <w:rPr>
          <w:i w:val="1"/>
          <w:vertAlign w:val="superscript"/>
          <w:rtl w:val="0"/>
        </w:rPr>
        <w:t xml:space="preserve">e</w:t>
      </w:r>
      <w:r w:rsidDel="00000000" w:rsidR="00000000" w:rsidRPr="00000000">
        <w:rPr>
          <w:rtl w:val="0"/>
        </w:rPr>
        <w:t xml:space="preserve"> and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i w:val="1"/>
          <w:vertAlign w:val="superscript"/>
          <w:rtl w:val="0"/>
        </w:rPr>
        <w:t xml:space="preserve">e</w:t>
      </w:r>
      <w:r w:rsidDel="00000000" w:rsidR="00000000" w:rsidRPr="00000000">
        <w:rPr>
          <w:rtl w:val="0"/>
        </w:rPr>
        <w:t xml:space="preserve"> are the diffusion coefficient and the concentration of the analyte </w:t>
      </w:r>
      <w:r w:rsidDel="00000000" w:rsidR="00000000" w:rsidRPr="00000000">
        <w:rPr>
          <w:i w:val="1"/>
          <w:rtl w:val="0"/>
        </w:rPr>
        <w:t xml:space="preserve">A</w:t>
      </w:r>
      <w:r w:rsidDel="00000000" w:rsidR="00000000" w:rsidRPr="00000000">
        <w:rPr>
          <w:rtl w:val="0"/>
        </w:rPr>
        <w:t xml:space="preserve"> at the extractant surface, respectively,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rtl w:val="0"/>
        </w:rPr>
        <w:t xml:space="preserve"> is the free analyte concentration in sample solution at time </w:t>
      </w:r>
      <w:r w:rsidDel="00000000" w:rsidR="00000000" w:rsidRPr="00000000">
        <w:rPr>
          <w:i w:val="1"/>
          <w:rtl w:val="0"/>
        </w:rPr>
        <w:t xml:space="preserve">t</w:t>
      </w: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t xml:space="preserve">The ratio of the adsorption and desorption constants </w:t>
      </w:r>
      <w:r w:rsidDel="00000000" w:rsidR="00000000" w:rsidRPr="00000000">
        <w:rPr>
          <w:i w:val="1"/>
          <w:rtl w:val="0"/>
        </w:rPr>
        <w:t xml:space="preserve">k</w:t>
      </w:r>
      <w:r w:rsidDel="00000000" w:rsidR="00000000" w:rsidRPr="00000000">
        <w:rPr>
          <w:i w:val="1"/>
          <w:vertAlign w:val="subscript"/>
          <w:rtl w:val="0"/>
        </w:rPr>
        <w:t xml:space="preserve">ads</w:t>
      </w:r>
      <w:r w:rsidDel="00000000" w:rsidR="00000000" w:rsidRPr="00000000">
        <w:rPr>
          <w:rtl w:val="0"/>
        </w:rPr>
        <w:t xml:space="preserve">/</w:t>
      </w:r>
      <w:r w:rsidDel="00000000" w:rsidR="00000000" w:rsidRPr="00000000">
        <w:rPr>
          <w:i w:val="1"/>
          <w:rtl w:val="0"/>
        </w:rPr>
        <w:t xml:space="preserve">k</w:t>
      </w:r>
      <w:r w:rsidDel="00000000" w:rsidR="00000000" w:rsidRPr="00000000">
        <w:rPr>
          <w:i w:val="1"/>
          <w:vertAlign w:val="subscript"/>
          <w:rtl w:val="0"/>
        </w:rPr>
        <w:t xml:space="preserve">des</w:t>
      </w:r>
      <w:r w:rsidDel="00000000" w:rsidR="00000000" w:rsidRPr="00000000">
        <w:rPr>
          <w:rtl w:val="0"/>
        </w:rPr>
        <w:t xml:space="preserve"> determines the equilibrium constant </w:t>
      </w:r>
      <w:r w:rsidDel="00000000" w:rsidR="00000000" w:rsidRPr="00000000">
        <w:rPr>
          <w:i w:val="1"/>
          <w:rtl w:val="0"/>
        </w:rPr>
        <w:t xml:space="preserve">K</w:t>
      </w:r>
      <w:r w:rsidDel="00000000" w:rsidR="00000000" w:rsidRPr="00000000">
        <w:rPr>
          <w:rtl w:val="0"/>
        </w:rPr>
        <w:t xml:space="preserve"> (Eq. 4). As the adsorption progresses, </w:t>
      </w:r>
      <w:r w:rsidDel="00000000" w:rsidR="00000000" w:rsidRPr="00000000">
        <w:rPr>
          <w:i w:val="1"/>
          <w:rtl w:val="0"/>
        </w:rPr>
        <w:t xml:space="preserve">Γ</w:t>
      </w:r>
      <w:r w:rsidDel="00000000" w:rsidR="00000000" w:rsidRPr="00000000">
        <w:rPr>
          <w:i w:val="1"/>
          <w:vertAlign w:val="subscript"/>
          <w:rtl w:val="0"/>
        </w:rPr>
        <w:t xml:space="preserve">max</w:t>
      </w:r>
      <w:r w:rsidDel="00000000" w:rsidR="00000000" w:rsidRPr="00000000">
        <w:rPr>
          <w:i w:val="1"/>
          <w:rtl w:val="0"/>
        </w:rPr>
        <w:t xml:space="preserve"> – Γ(t)</w:t>
      </w:r>
      <w:r w:rsidDel="00000000" w:rsidR="00000000" w:rsidRPr="00000000">
        <w:rPr>
          <w:rtl w:val="0"/>
        </w:rPr>
        <w:t xml:space="preserve"> decreases while </w:t>
      </w:r>
      <w:r w:rsidDel="00000000" w:rsidR="00000000" w:rsidRPr="00000000">
        <w:rPr>
          <w:i w:val="1"/>
          <w:rtl w:val="0"/>
        </w:rPr>
        <w:t xml:space="preserve">Γ(t)</w:t>
      </w:r>
      <w:r w:rsidDel="00000000" w:rsidR="00000000" w:rsidRPr="00000000">
        <w:rPr>
          <w:rtl w:val="0"/>
        </w:rPr>
        <w:t xml:space="preserve"> increases until the equilibrium is reached. If we ignore the surface diffusion term, assume </w:t>
      </w:r>
      <w:r w:rsidDel="00000000" w:rsidR="00000000" w:rsidRPr="00000000">
        <w:rPr>
          <w:i w:val="1"/>
          <w:rtl w:val="0"/>
        </w:rPr>
        <w:t xml:space="preserve">dΓ(t)/dt</w:t>
      </w:r>
      <w:r w:rsidDel="00000000" w:rsidR="00000000" w:rsidRPr="00000000">
        <w:rPr>
          <w:rtl w:val="0"/>
        </w:rPr>
        <w:t xml:space="preserve"> = </w:t>
      </w:r>
      <w:r w:rsidDel="00000000" w:rsidR="00000000" w:rsidRPr="00000000">
        <w:rPr>
          <w:i w:val="1"/>
          <w:rtl w:val="0"/>
        </w:rPr>
        <w:t xml:space="preserve">0</w:t>
      </w:r>
      <w:r w:rsidDel="00000000" w:rsidR="00000000" w:rsidRPr="00000000">
        <w:rPr>
          <w:rtl w:val="0"/>
        </w:rPr>
        <w:t xml:space="preserve"> at equilibrium and </w:t>
      </w:r>
      <w:r w:rsidDel="00000000" w:rsidR="00000000" w:rsidRPr="00000000">
        <w:rPr>
          <w:i w:val="1"/>
          <w:rtl w:val="0"/>
        </w:rPr>
        <w:t xml:space="preserve">C</w:t>
      </w:r>
      <w:r w:rsidDel="00000000" w:rsidR="00000000" w:rsidRPr="00000000">
        <w:rPr>
          <w:i w:val="1"/>
          <w:vertAlign w:val="subscript"/>
          <w:rtl w:val="0"/>
        </w:rPr>
        <w:t xml:space="preserve">A </w:t>
      </w:r>
      <w:r w:rsidDel="00000000" w:rsidR="00000000" w:rsidRPr="00000000">
        <w:rPr>
          <w:i w:val="1"/>
          <w:vertAlign w:val="superscript"/>
          <w:rtl w:val="0"/>
        </w:rPr>
        <w:t xml:space="preserve">eq</w:t>
      </w:r>
      <w:r w:rsidDel="00000000" w:rsidR="00000000" w:rsidRPr="00000000">
        <w:rPr>
          <w:rtl w:val="0"/>
        </w:rPr>
        <w:t xml:space="preserve"> =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i w:val="1"/>
          <w:rtl w:val="0"/>
        </w:rPr>
        <w:t xml:space="preserve"> </w:t>
      </w:r>
      <w:r w:rsidDel="00000000" w:rsidR="00000000" w:rsidRPr="00000000">
        <w:rPr>
          <w:i w:val="1"/>
          <w:vertAlign w:val="superscript"/>
          <w:rtl w:val="0"/>
        </w:rPr>
        <w:t xml:space="preserve">0</w:t>
      </w:r>
      <w:r w:rsidDel="00000000" w:rsidR="00000000" w:rsidRPr="00000000">
        <w:rPr>
          <w:rtl w:val="0"/>
        </w:rPr>
        <w:t xml:space="preserve"> (i.e. the initial concentration of </w:t>
      </w:r>
      <w:r w:rsidDel="00000000" w:rsidR="00000000" w:rsidRPr="00000000">
        <w:rPr>
          <w:i w:val="1"/>
          <w:rtl w:val="0"/>
        </w:rPr>
        <w:t xml:space="preserve">A</w:t>
      </w:r>
      <w:r w:rsidDel="00000000" w:rsidR="00000000" w:rsidRPr="00000000">
        <w:rPr>
          <w:rtl w:val="0"/>
        </w:rPr>
        <w:t xml:space="preserve">) in the eq. 3, an analytical expression for the adsorbed centration of the analyte equilibrium (</w:t>
      </w:r>
      <w:r w:rsidDel="00000000" w:rsidR="00000000" w:rsidRPr="00000000">
        <w:rPr>
          <w:i w:val="1"/>
          <w:rtl w:val="0"/>
        </w:rPr>
        <w:t xml:space="preserve">Γ</w:t>
      </w:r>
      <w:r w:rsidDel="00000000" w:rsidR="00000000" w:rsidRPr="00000000">
        <w:rPr>
          <w:i w:val="1"/>
          <w:vertAlign w:val="subscript"/>
          <w:rtl w:val="0"/>
        </w:rPr>
        <w:t xml:space="preserve">eq</w:t>
      </w:r>
      <w:r w:rsidDel="00000000" w:rsidR="00000000" w:rsidRPr="00000000">
        <w:rPr>
          <w:rtl w:val="0"/>
        </w:rPr>
        <w:t xml:space="preserve">) can be obtained (eq. 4).</w:t>
      </w:r>
    </w:p>
    <w:tbl>
      <w:tblPr>
        <w:tblStyle w:val="Table4"/>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85"/>
        <w:gridCol w:w="5760"/>
        <w:gridCol w:w="1705"/>
        <w:tblGridChange w:id="0">
          <w:tblGrid>
            <w:gridCol w:w="1885"/>
            <w:gridCol w:w="5760"/>
            <w:gridCol w:w="1705"/>
          </w:tblGrid>
        </w:tblGridChange>
      </w:tblGrid>
      <w:tr>
        <w:tc>
          <w:tcPr/>
          <w:p w:rsidR="00000000" w:rsidDel="00000000" w:rsidP="00000000" w:rsidRDefault="00000000" w:rsidRPr="00000000">
            <w:pPr>
              <w:spacing w:after="0" w:line="360" w:lineRule="auto"/>
              <w:contextualSpacing w:val="0"/>
              <w:jc w:val="center"/>
              <w:rPr/>
            </w:pPr>
            <w:r w:rsidDel="00000000" w:rsidR="00000000" w:rsidRPr="00000000">
              <w:rPr>
                <w:rtl w:val="0"/>
              </w:rPr>
            </w:r>
          </w:p>
        </w:tc>
        <w:tc>
          <w:tcPr/>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r>
                  <w:rPr>
                    <w:rFonts w:ascii="Cambria Math" w:cs="Cambria Math" w:eastAsia="Cambria Math" w:hAnsi="Cambria Math"/>
                  </w:rPr>
                  <m:t xml:space="preserve">K=</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k</m:t>
                        </m:r>
                      </m:e>
                      <m:sub>
                        <m:r>
                          <w:rPr>
                            <w:rFonts w:ascii="Cambria Math" w:cs="Cambria Math" w:eastAsia="Cambria Math" w:hAnsi="Cambria Math"/>
                          </w:rPr>
                          <m:t xml:space="preserve">ads</m:t>
                        </m:r>
                      </m:sub>
                    </m:sSub>
                  </m:num>
                  <m:den>
                    <m:sSub>
                      <m:sSubPr>
                        <m:ctrlPr>
                          <w:rPr>
                            <w:rFonts w:ascii="Cambria Math" w:cs="Cambria Math" w:eastAsia="Cambria Math" w:hAnsi="Cambria Math"/>
                          </w:rPr>
                        </m:ctrlPr>
                      </m:sSubPr>
                      <m:e>
                        <m:r>
                          <w:rPr>
                            <w:rFonts w:ascii="Cambria Math" w:cs="Cambria Math" w:eastAsia="Cambria Math" w:hAnsi="Cambria Math"/>
                          </w:rPr>
                          <m:t xml:space="preserve">k</m:t>
                        </m:r>
                      </m:e>
                      <m:sub>
                        <m:r>
                          <w:rPr>
                            <w:rFonts w:ascii="Cambria Math" w:cs="Cambria Math" w:eastAsia="Cambria Math" w:hAnsi="Cambria Math"/>
                          </w:rPr>
                          <m:t xml:space="preserve">des</m:t>
                        </m:r>
                      </m:sub>
                    </m:sSub>
                  </m:den>
                </m:f>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Γ</m:t>
                        </m:r>
                      </m:e>
                      <m:sub>
                        <m:r>
                          <w:rPr>
                            <w:rFonts w:ascii="Cambria Math" w:cs="Cambria Math" w:eastAsia="Cambria Math" w:hAnsi="Cambria Math"/>
                          </w:rPr>
                          <m:t xml:space="preserve">eq</m:t>
                        </m:r>
                      </m:sub>
                    </m:sSub>
                  </m:num>
                  <m:den>
                    <m:sSubSup>
                      <m:sSubSupPr>
                        <m:ctrlPr>
                          <w:rPr>
                            <w:rFonts w:ascii="Cambria Math" w:cs="Cambria Math" w:eastAsia="Cambria Math" w:hAnsi="Cambria Math"/>
                          </w:rPr>
                        </m:ctrlPr>
                      </m:sSubSupPr>
                      <m:e>
                        <m:r>
                          <w:rPr>
                            <w:rFonts w:ascii="Cambria Math" w:cs="Cambria Math" w:eastAsia="Cambria Math" w:hAnsi="Cambria Math"/>
                          </w:rPr>
                          <m:t xml:space="preserve">C</m:t>
                        </m:r>
                      </m:e>
                      <m:sub>
                        <m:r>
                          <w:rPr>
                            <w:rFonts w:ascii="Cambria Math" w:cs="Cambria Math" w:eastAsia="Cambria Math" w:hAnsi="Cambria Math"/>
                          </w:rPr>
                          <m:t xml:space="preserve">A</m:t>
                        </m:r>
                      </m:sub>
                      <m:sup>
                        <m:r>
                          <w:rPr>
                            <w:rFonts w:ascii="Cambria Math" w:cs="Cambria Math" w:eastAsia="Cambria Math" w:hAnsi="Cambria Math"/>
                          </w:rPr>
                          <m:t xml:space="preserve">0</m:t>
                        </m:r>
                      </m:sup>
                    </m:sSubSup>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Γ</m:t>
                        </m:r>
                      </m:e>
                      <m:sub>
                        <m:r>
                          <w:rPr>
                            <w:rFonts w:ascii="Cambria Math" w:cs="Cambria Math" w:eastAsia="Cambria Math" w:hAnsi="Cambria Math"/>
                          </w:rPr>
                          <m:t xml:space="preserve">max</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Γ</m:t>
                        </m:r>
                      </m:e>
                      <m:sub>
                        <m:r>
                          <w:rPr>
                            <w:rFonts w:ascii="Cambria Math" w:cs="Cambria Math" w:eastAsia="Cambria Math" w:hAnsi="Cambria Math"/>
                          </w:rPr>
                          <m:t xml:space="preserve">eq</m:t>
                        </m:r>
                      </m:sub>
                    </m:sSub>
                    <m:r>
                      <w:rPr>
                        <w:rFonts w:ascii="Cambria Math" w:cs="Cambria Math" w:eastAsia="Cambria Math" w:hAnsi="Cambria Math"/>
                      </w:rPr>
                      <m:t xml:space="preserve">)</m:t>
                    </m:r>
                  </m:den>
                </m:f>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r>
    </w:tbl>
    <w:p w:rsidR="00000000" w:rsidDel="00000000" w:rsidP="00000000" w:rsidRDefault="00000000" w:rsidRPr="00000000">
      <w:pPr>
        <w:ind w:firstLine="0"/>
        <w:contextualSpacing w:val="0"/>
        <w:rPr/>
      </w:pPr>
      <w:r w:rsidDel="00000000" w:rsidR="00000000" w:rsidRPr="00000000">
        <w:rPr>
          <w:rtl w:val="0"/>
        </w:rPr>
        <w:t xml:space="preserve">Considering the surface area (cm</w:t>
      </w:r>
      <w:r w:rsidDel="00000000" w:rsidR="00000000" w:rsidRPr="00000000">
        <w:rPr>
          <w:vertAlign w:val="superscript"/>
          <w:rtl w:val="0"/>
        </w:rPr>
        <w:t xml:space="preserve">2</w:t>
      </w:r>
      <w:r w:rsidDel="00000000" w:rsidR="00000000" w:rsidRPr="00000000">
        <w:rPr>
          <w:rtl w:val="0"/>
        </w:rPr>
        <w:t xml:space="preserve">) of coating, </w:t>
      </w:r>
      <w:r w:rsidDel="00000000" w:rsidR="00000000" w:rsidRPr="00000000">
        <w:rPr>
          <w:i w:val="1"/>
          <w:rtl w:val="0"/>
        </w:rPr>
        <w:t xml:space="preserve">Γ</w:t>
      </w:r>
      <w:r w:rsidDel="00000000" w:rsidR="00000000" w:rsidRPr="00000000">
        <w:rPr>
          <w:i w:val="1"/>
          <w:vertAlign w:val="subscript"/>
          <w:rtl w:val="0"/>
        </w:rPr>
        <w:t xml:space="preserve"> </w:t>
      </w:r>
      <w:r w:rsidDel="00000000" w:rsidR="00000000" w:rsidRPr="00000000">
        <w:rPr>
          <w:rtl w:val="0"/>
        </w:rPr>
        <w:t xml:space="preserve">(nmol cm</w:t>
      </w:r>
      <w:r w:rsidDel="00000000" w:rsidR="00000000" w:rsidRPr="00000000">
        <w:rPr>
          <w:vertAlign w:val="superscript"/>
          <w:rtl w:val="0"/>
        </w:rPr>
        <w:t xml:space="preserve">‒2</w:t>
      </w:r>
      <w:r w:rsidDel="00000000" w:rsidR="00000000" w:rsidRPr="00000000">
        <w:rPr>
          <w:rtl w:val="0"/>
        </w:rPr>
        <w:t xml:space="preserve"> or ng cm</w:t>
      </w:r>
      <w:r w:rsidDel="00000000" w:rsidR="00000000" w:rsidRPr="00000000">
        <w:rPr>
          <w:vertAlign w:val="superscript"/>
          <w:rtl w:val="0"/>
        </w:rPr>
        <w:t xml:space="preserve">‒2</w:t>
      </w:r>
      <w:r w:rsidDel="00000000" w:rsidR="00000000" w:rsidRPr="00000000">
        <w:rPr>
          <w:rtl w:val="0"/>
        </w:rPr>
        <w:t xml:space="preserve">) can be modified as follows:</w:t>
      </w:r>
    </w:p>
    <w:tbl>
      <w:tblPr>
        <w:tblStyle w:val="Table5"/>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85"/>
        <w:gridCol w:w="5760"/>
        <w:gridCol w:w="1705"/>
        <w:tblGridChange w:id="0">
          <w:tblGrid>
            <w:gridCol w:w="1885"/>
            <w:gridCol w:w="5760"/>
            <w:gridCol w:w="1705"/>
          </w:tblGrid>
        </w:tblGridChange>
      </w:tblGrid>
      <w:tr>
        <w:tc>
          <w:tcPr/>
          <w:p w:rsidR="00000000" w:rsidDel="00000000" w:rsidP="00000000" w:rsidRDefault="00000000" w:rsidRPr="00000000">
            <w:pPr>
              <w:contextualSpacing w:val="0"/>
              <w:rPr/>
            </w:pPr>
            <w:r w:rsidDel="00000000" w:rsidR="00000000" w:rsidRPr="00000000">
              <w:rPr>
                <w:rtl w:val="0"/>
              </w:rPr>
              <w:t xml:space="preserve"> </w:t>
            </w:r>
          </w:p>
        </w:tc>
        <w:tc>
          <w:tcPr/>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sSub>
                  <m:sSubPr>
                    <m:ctrlPr>
                      <w:rPr>
                        <w:rFonts w:ascii="Cambria Math" w:cs="Cambria Math" w:eastAsia="Cambria Math" w:hAnsi="Cambria Math"/>
                      </w:rPr>
                    </m:ctrlPr>
                  </m:sSubPr>
                  <m:e>
                    <m:r>
                      <w:rPr>
                        <w:rFonts w:ascii="Cambria Math" w:cs="Cambria Math" w:eastAsia="Cambria Math" w:hAnsi="Cambria Math"/>
                      </w:rPr>
                      <m:t xml:space="preserve">n</m:t>
                    </m:r>
                  </m:e>
                  <m:sub>
                    <m:r>
                      <w:rPr>
                        <w:rFonts w:ascii="Cambria Math" w:cs="Cambria Math" w:eastAsia="Cambria Math" w:hAnsi="Cambria Math"/>
                      </w:rPr>
                      <m:t xml:space="preserve">eq</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n</m:t>
                        </m:r>
                      </m:e>
                      <m:sub>
                        <m:r>
                          <w:rPr>
                            <w:rFonts w:ascii="Cambria Math" w:cs="Cambria Math" w:eastAsia="Cambria Math" w:hAnsi="Cambria Math"/>
                          </w:rPr>
                          <m:t xml:space="preserve">max</m:t>
                        </m:r>
                      </m:sub>
                    </m:sSub>
                    <m:sSubSup>
                      <m:sSubSupPr>
                        <m:ctrlPr>
                          <w:rPr>
                            <w:rFonts w:ascii="Cambria Math" w:cs="Cambria Math" w:eastAsia="Cambria Math" w:hAnsi="Cambria Math"/>
                          </w:rPr>
                        </m:ctrlPr>
                      </m:sSubSupPr>
                      <m:e>
                        <m:r>
                          <w:rPr>
                            <w:rFonts w:ascii="Cambria Math" w:cs="Cambria Math" w:eastAsia="Cambria Math" w:hAnsi="Cambria Math"/>
                          </w:rPr>
                          <m:t xml:space="preserve">C</m:t>
                        </m:r>
                      </m:e>
                      <m:sub>
                        <m:r>
                          <w:rPr>
                            <w:rFonts w:ascii="Cambria Math" w:cs="Cambria Math" w:eastAsia="Cambria Math" w:hAnsi="Cambria Math"/>
                          </w:rPr>
                          <m:t xml:space="preserve">A</m:t>
                        </m:r>
                      </m:sub>
                      <m:sup>
                        <m:r>
                          <w:rPr>
                            <w:rFonts w:ascii="Cambria Math" w:cs="Cambria Math" w:eastAsia="Cambria Math" w:hAnsi="Cambria Math"/>
                          </w:rPr>
                          <m:t xml:space="preserve">0</m:t>
                        </m:r>
                      </m:sup>
                    </m:sSubSup>
                  </m:num>
                  <m:den>
                    <m:r>
                      <w:rPr>
                        <w:rFonts w:ascii="Cambria Math" w:cs="Cambria Math" w:eastAsia="Cambria Math" w:hAnsi="Cambria Math"/>
                      </w:rPr>
                      <m:t xml:space="preserve">1/K+</m:t>
                    </m:r>
                    <m:sSubSup>
                      <m:sSubSupPr>
                        <m:ctrlPr>
                          <w:rPr>
                            <w:rFonts w:ascii="Cambria Math" w:cs="Cambria Math" w:eastAsia="Cambria Math" w:hAnsi="Cambria Math"/>
                          </w:rPr>
                        </m:ctrlPr>
                      </m:sSubSupPr>
                      <m:e>
                        <m:r>
                          <w:rPr>
                            <w:rFonts w:ascii="Cambria Math" w:cs="Cambria Math" w:eastAsia="Cambria Math" w:hAnsi="Cambria Math"/>
                          </w:rPr>
                          <m:t xml:space="preserve">C</m:t>
                        </m:r>
                      </m:e>
                      <m:sub>
                        <m:r>
                          <w:rPr>
                            <w:rFonts w:ascii="Cambria Math" w:cs="Cambria Math" w:eastAsia="Cambria Math" w:hAnsi="Cambria Math"/>
                          </w:rPr>
                          <m:t xml:space="preserve">A</m:t>
                        </m:r>
                      </m:sub>
                      <m:sup>
                        <m:r>
                          <w:rPr>
                            <w:rFonts w:ascii="Cambria Math" w:cs="Cambria Math" w:eastAsia="Cambria Math" w:hAnsi="Cambria Math"/>
                          </w:rPr>
                          <m:t xml:space="preserve">0</m:t>
                        </m:r>
                      </m:sup>
                    </m:sSubSup>
                  </m:den>
                </m:f>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bl>
    <w:p w:rsidR="00000000" w:rsidDel="00000000" w:rsidP="00000000" w:rsidRDefault="00000000" w:rsidRPr="00000000">
      <w:pPr>
        <w:ind w:firstLine="0"/>
        <w:contextualSpacing w:val="0"/>
        <w:rPr/>
      </w:pPr>
      <w:r w:rsidDel="00000000" w:rsidR="00000000" w:rsidRPr="00000000">
        <w:rPr>
          <w:rtl w:val="0"/>
        </w:rPr>
        <w:t xml:space="preserve">where </w:t>
      </w:r>
      <w:r w:rsidDel="00000000" w:rsidR="00000000" w:rsidRPr="00000000">
        <w:rPr>
          <w:i w:val="1"/>
          <w:rtl w:val="0"/>
        </w:rPr>
        <w:t xml:space="preserve">n</w:t>
      </w:r>
      <w:r w:rsidDel="00000000" w:rsidR="00000000" w:rsidRPr="00000000">
        <w:rPr>
          <w:rtl w:val="0"/>
        </w:rPr>
        <w:t xml:space="preserve"> represents the amount of analyte (nmol or ng). </w:t>
      </w:r>
    </w:p>
    <w:p w:rsidR="00000000" w:rsidDel="00000000" w:rsidP="00000000" w:rsidRDefault="00000000" w:rsidRPr="00000000">
      <w:pPr>
        <w:contextualSpacing w:val="0"/>
        <w:rPr/>
      </w:pPr>
      <w:r w:rsidDel="00000000" w:rsidR="00000000" w:rsidRPr="00000000">
        <w:rPr>
          <w:rtl w:val="0"/>
        </w:rPr>
        <w:t xml:space="preserve">Since eq. 3 includes the sample bulk concentration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rtl w:val="0"/>
        </w:rPr>
        <w:t xml:space="preserve"> of analyte, it must be solved in combination with the mass transport equation in the sample. The coupling between the concentration distribution in the bulk sample (2D, eq. 1) and the concentration distribution at the surface (1-D, eq. 3) is obtained by imposing a boundary condition for eq. 1. Boundary condition at the reaction surface is given in the term of mass flux,</w:t>
      </w:r>
    </w:p>
    <w:tbl>
      <w:tblPr>
        <w:tblStyle w:val="Table6"/>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350"/>
        <w:gridCol w:w="6295"/>
        <w:gridCol w:w="1705"/>
        <w:tblGridChange w:id="0">
          <w:tblGrid>
            <w:gridCol w:w="1350"/>
            <w:gridCol w:w="6295"/>
            <w:gridCol w:w="1705"/>
          </w:tblGrid>
        </w:tblGridChange>
      </w:tblGrid>
      <w:tr>
        <w:tc>
          <w:tcPr/>
          <w:p w:rsidR="00000000" w:rsidDel="00000000" w:rsidP="00000000" w:rsidRDefault="00000000" w:rsidRPr="00000000">
            <w:pPr>
              <w:contextualSpacing w:val="0"/>
              <w:rPr/>
            </w:pPr>
            <w:r w:rsidDel="00000000" w:rsidR="00000000" w:rsidRPr="00000000">
              <w:rPr>
                <w:rtl w:val="0"/>
              </w:rPr>
            </w:r>
          </w:p>
        </w:tc>
        <w:tc>
          <w:tcPr/>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r>
                  <w:rPr>
                    <w:rFonts w:ascii="Cambria Math" w:cs="Cambria Math" w:eastAsia="Cambria Math" w:hAnsi="Cambria Math"/>
                  </w:rPr>
                  <m:t xml:space="preserve">-e∙</m:t>
                </m:r>
                <m:r>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w:rFonts w:ascii="Cambria Math" w:cs="Cambria Math" w:eastAsia="Cambria Math" w:hAnsi="Cambria Math"/>
                  </w:rPr>
                  <m:t xml:space="preserve">v-</m:t>
                </m:r>
                <m:sSub>
                  <m:sSubPr>
                    <m:ctrlPr>
                      <w:rPr>
                        <w:rFonts w:ascii="Cambria Math" w:cs="Cambria Math" w:eastAsia="Cambria Math" w:hAnsi="Cambria Math"/>
                      </w:rPr>
                    </m:ctrlPr>
                  </m:sSubPr>
                  <m:e>
                    <m:r>
                      <w:rPr>
                        <w:rFonts w:ascii="Cambria Math" w:cs="Cambria Math" w:eastAsia="Cambria Math" w:hAnsi="Cambria Math"/>
                      </w:rPr>
                      <m:t xml:space="preserve">D</m:t>
                    </m:r>
                  </m:e>
                  <m:sub>
                    <m:r>
                      <w:rPr>
                        <w:rFonts w:ascii="Cambria Math" w:cs="Cambria Math" w:eastAsia="Cambria Math" w:hAnsi="Cambria Math"/>
                      </w:rPr>
                      <m:t xml:space="preserve">A</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m:t xml:space="preserve">)</m:t>
                </m:r>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k</m:t>
                    </m:r>
                  </m:e>
                  <m:sub>
                    <m:r>
                      <w:rPr>
                        <w:rFonts w:ascii="Cambria Math" w:cs="Cambria Math" w:eastAsia="Cambria Math" w:hAnsi="Cambria Math"/>
                      </w:rPr>
                      <m:t xml:space="preserve">ads</m:t>
                    </m:r>
                  </m:sub>
                </m:sSub>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m:t xml:space="preserve">(</m:t>
                </m:r>
                <m:r>
                  <w:rPr>
                    <w:rFonts w:ascii="Cambria Math" w:cs="Cambria Math" w:eastAsia="Cambria Math" w:hAnsi="Cambria Math"/>
                  </w:rPr>
                  <m:t xml:space="preserve">t</m:t>
                </m:r>
                <m:r>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Γ</m:t>
                    </m:r>
                  </m:e>
                  <m:sub>
                    <m:r>
                      <w:rPr>
                        <w:rFonts w:ascii="Cambria Math" w:cs="Cambria Math" w:eastAsia="Cambria Math" w:hAnsi="Cambria Math"/>
                      </w:rPr>
                      <m:t xml:space="preserve">max</m:t>
                    </m:r>
                  </m:sub>
                </m:sSub>
                <m:r>
                  <w:rPr>
                    <w:rFonts w:ascii="Cambria Math" w:cs="Cambria Math" w:eastAsia="Cambria Math" w:hAnsi="Cambria Math"/>
                  </w:rPr>
                  <m:t xml:space="preserve">-Γ</m:t>
                </m:r>
                <m:r>
                  <w:rPr/>
                  <m:t xml:space="preserve">(</m:t>
                </m:r>
                <m:r>
                  <w:rPr>
                    <w:rFonts w:ascii="Cambria Math" w:cs="Cambria Math" w:eastAsia="Cambria Math" w:hAnsi="Cambria Math"/>
                  </w:rPr>
                  <m:t xml:space="preserve">t</m:t>
                </m:r>
                <m:r>
                  <w:rPr/>
                  <m:t xml:space="preserve">))</m:t>
                </m:r>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k</m:t>
                    </m:r>
                  </m:e>
                  <m:sub>
                    <m:r>
                      <w:rPr>
                        <w:rFonts w:ascii="Cambria Math" w:cs="Cambria Math" w:eastAsia="Cambria Math" w:hAnsi="Cambria Math"/>
                      </w:rPr>
                      <m:t xml:space="preserve">des</m:t>
                    </m:r>
                  </m:sub>
                </m:sSub>
                <m:r>
                  <w:rPr>
                    <w:rFonts w:ascii="Cambria Math" w:cs="Cambria Math" w:eastAsia="Cambria Math" w:hAnsi="Cambria Math"/>
                  </w:rPr>
                  <m:t xml:space="preserve">Γ(t)</m:t>
                </m:r>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r>
    </w:tbl>
    <w:p w:rsidR="00000000" w:rsidDel="00000000" w:rsidP="00000000" w:rsidRDefault="00000000" w:rsidRPr="00000000">
      <w:pPr>
        <w:ind w:firstLine="0"/>
        <w:contextualSpacing w:val="0"/>
        <w:rPr/>
      </w:pPr>
      <w:r w:rsidDel="00000000" w:rsidR="00000000" w:rsidRPr="00000000">
        <w:rPr>
          <w:rtl w:val="0"/>
        </w:rPr>
        <w:t xml:space="preserve">where </w:t>
      </w:r>
      <w:r w:rsidDel="00000000" w:rsidR="00000000" w:rsidRPr="00000000">
        <w:rPr>
          <w:i w:val="1"/>
          <w:rtl w:val="0"/>
        </w:rPr>
        <w:t xml:space="preserve">e</w:t>
      </w:r>
      <w:r w:rsidDel="00000000" w:rsidR="00000000" w:rsidRPr="00000000">
        <w:rPr>
          <w:rtl w:val="0"/>
        </w:rPr>
        <w:t xml:space="preserve">  is the unit normal vector to the surface. The remaining boundary conditions for equation (1) are as follows:</w:t>
      </w:r>
    </w:p>
    <w:p w:rsidR="00000000" w:rsidDel="00000000" w:rsidP="00000000" w:rsidRDefault="00000000" w:rsidRPr="00000000">
      <w:pPr>
        <w:ind w:firstLine="0"/>
        <w:contextualSpacing w:val="0"/>
        <w:rPr/>
      </w:pPr>
      <w:r w:rsidDel="00000000" w:rsidR="00000000" w:rsidRPr="00000000">
        <w:rPr>
          <w:rtl w:val="0"/>
        </w:rPr>
        <w:t xml:space="preserve">At time </w:t>
      </w:r>
      <w:r w:rsidDel="00000000" w:rsidR="00000000" w:rsidRPr="00000000">
        <w:rPr>
          <w:i w:val="1"/>
          <w:rtl w:val="0"/>
        </w:rPr>
        <w:t xml:space="preserve">t</w:t>
      </w:r>
      <w:r w:rsidDel="00000000" w:rsidR="00000000" w:rsidRPr="00000000">
        <w:rPr>
          <w:rtl w:val="0"/>
        </w:rPr>
        <w:t xml:space="preserve"> = 0,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rtl w:val="0"/>
        </w:rPr>
        <w:t xml:space="preserve"> = 0 and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i w:val="1"/>
          <w:vertAlign w:val="superscript"/>
          <w:rtl w:val="0"/>
        </w:rPr>
        <w:t xml:space="preserve">s</w:t>
      </w:r>
      <w:r w:rsidDel="00000000" w:rsidR="00000000" w:rsidRPr="00000000">
        <w:rPr>
          <w:rtl w:val="0"/>
        </w:rPr>
        <w:t xml:space="preserve"> = 0</w:t>
      </w:r>
    </w:p>
    <w:p w:rsidR="00000000" w:rsidDel="00000000" w:rsidP="00000000" w:rsidRDefault="00000000" w:rsidRPr="00000000">
      <w:pPr>
        <w:ind w:firstLine="0"/>
        <w:contextualSpacing w:val="0"/>
        <w:rPr/>
      </w:pPr>
      <w:r w:rsidDel="00000000" w:rsidR="00000000" w:rsidRPr="00000000">
        <w:rPr>
          <w:rtl w:val="0"/>
        </w:rPr>
        <w:t xml:space="preserve">For all </w:t>
      </w:r>
      <w:r w:rsidDel="00000000" w:rsidR="00000000" w:rsidRPr="00000000">
        <w:rPr>
          <w:i w:val="1"/>
          <w:rtl w:val="0"/>
        </w:rPr>
        <w:t xml:space="preserve">t</w:t>
      </w:r>
      <w:r w:rsidDel="00000000" w:rsidR="00000000" w:rsidRPr="00000000">
        <w:rPr>
          <w:rtl w:val="0"/>
        </w:rPr>
        <w:t xml:space="preserve"> &gt; 0,</w:t>
      </w:r>
    </w:p>
    <w:p w:rsidR="00000000" w:rsidDel="00000000" w:rsidP="00000000" w:rsidRDefault="00000000" w:rsidRPr="00000000">
      <w:pPr>
        <w:ind w:firstLine="0"/>
        <w:contextualSpacing w:val="0"/>
        <w:rPr/>
      </w:pPr>
      <w:r w:rsidDel="00000000" w:rsidR="00000000" w:rsidRPr="00000000">
        <w:rPr>
          <w:rtl w:val="0"/>
        </w:rPr>
        <w:t xml:space="preserve">At the cylinder’s inlet, the analyte concentration was fixed at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rtl w:val="0"/>
        </w:rPr>
        <w:t xml:space="preserve"> = </w:t>
      </w: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i w:val="1"/>
          <w:vertAlign w:val="superscript"/>
          <w:rtl w:val="0"/>
        </w:rPr>
        <w:t xml:space="preserve">0</w:t>
      </w:r>
      <w:r w:rsidDel="00000000" w:rsidR="00000000" w:rsidRPr="00000000">
        <w:rPr>
          <w:rtl w:val="0"/>
        </w:rPr>
      </w:r>
    </w:p>
    <w:p w:rsidR="00000000" w:rsidDel="00000000" w:rsidP="00000000" w:rsidRDefault="00000000" w:rsidRPr="00000000">
      <w:pPr>
        <w:ind w:firstLine="0"/>
        <w:contextualSpacing w:val="0"/>
        <w:rPr/>
      </w:pPr>
      <w:r w:rsidDel="00000000" w:rsidR="00000000" w:rsidRPr="00000000">
        <w:rPr>
          <w:rtl w:val="0"/>
        </w:rPr>
        <w:t xml:space="preserve">Insulation is applied to at the walls of the cylinder, i.e.:</w:t>
      </w:r>
    </w:p>
    <w:tbl>
      <w:tblPr>
        <w:tblStyle w:val="Table7"/>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85"/>
        <w:gridCol w:w="5760"/>
        <w:gridCol w:w="1705"/>
        <w:tblGridChange w:id="0">
          <w:tblGrid>
            <w:gridCol w:w="1885"/>
            <w:gridCol w:w="5760"/>
            <w:gridCol w:w="1705"/>
          </w:tblGrid>
        </w:tblGridChange>
      </w:tblGrid>
      <w:tr>
        <w:tc>
          <w:tcPr/>
          <w:p w:rsidR="00000000" w:rsidDel="00000000" w:rsidP="00000000" w:rsidRDefault="00000000" w:rsidRPr="00000000">
            <w:pPr>
              <w:spacing w:after="0" w:line="360" w:lineRule="auto"/>
              <w:contextualSpacing w:val="0"/>
              <w:rPr/>
            </w:pPr>
            <w:r w:rsidDel="00000000" w:rsidR="00000000" w:rsidRPr="00000000">
              <w:rPr>
                <w:rtl w:val="0"/>
              </w:rPr>
            </w:r>
          </w:p>
        </w:tc>
        <w:tc>
          <w:tcPr/>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r>
                  <w:rPr>
                    <w:rFonts w:ascii="Cambria Math" w:cs="Cambria Math" w:eastAsia="Cambria Math" w:hAnsi="Cambria Math"/>
                  </w:rPr>
                  <m:t xml:space="preserve">-</m:t>
                </m:r>
                <m:acc>
                  <m:accPr>
                    <m:chr m:val="̂"/>
                    <m:ctrlPr>
                      <w:rPr>
                        <w:rFonts w:ascii="Cambria Math" w:cs="Cambria Math" w:eastAsia="Cambria Math" w:hAnsi="Cambria Math"/>
                      </w:rPr>
                    </m:ctrlPr>
                  </m:accPr>
                  <m:e>
                    <m:r>
                      <w:rPr>
                        <w:rFonts w:ascii="Cambria Math" w:cs="Cambria Math" w:eastAsia="Cambria Math" w:hAnsi="Cambria Math"/>
                      </w:rPr>
                      <m:t xml:space="preserve">n</m:t>
                    </m:r>
                  </m:e>
                </m:acc>
                <m:r>
                  <w:rPr>
                    <w:rFonts w:ascii="Cambria Math" w:cs="Cambria Math" w:eastAsia="Cambria Math" w:hAnsi="Cambria Math"/>
                  </w:rPr>
                  <m:t xml:space="preserve">∙</m:t>
                </m:r>
                <m:r>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w:rFonts w:ascii="Cambria Math" w:cs="Cambria Math" w:eastAsia="Cambria Math" w:hAnsi="Cambria Math"/>
                  </w:rPr>
                  <m:t xml:space="preserve">u-</m:t>
                </m:r>
                <m:sSub>
                  <m:sSubPr>
                    <m:ctrlPr>
                      <w:rPr>
                        <w:rFonts w:ascii="Cambria Math" w:cs="Cambria Math" w:eastAsia="Cambria Math" w:hAnsi="Cambria Math"/>
                      </w:rPr>
                    </m:ctrlPr>
                  </m:sSubPr>
                  <m:e>
                    <m:r>
                      <w:rPr>
                        <w:rFonts w:ascii="Cambria Math" w:cs="Cambria Math" w:eastAsia="Cambria Math" w:hAnsi="Cambria Math"/>
                      </w:rPr>
                      <m:t xml:space="preserve">D</m:t>
                    </m:r>
                  </m:e>
                  <m:sub>
                    <m:r>
                      <w:rPr>
                        <w:rFonts w:ascii="Cambria Math" w:cs="Cambria Math" w:eastAsia="Cambria Math" w:hAnsi="Cambria Math"/>
                      </w:rPr>
                      <m:t xml:space="preserve">A</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m:t xml:space="preserve">)</m:t>
                </m:r>
                <m:r>
                  <w:rPr>
                    <w:rFonts w:ascii="Cambria Math" w:cs="Cambria Math" w:eastAsia="Cambria Math" w:hAnsi="Cambria Math"/>
                  </w:rPr>
                  <m:t xml:space="preserve">=0</m:t>
                </m:r>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bl>
    <w:p w:rsidR="00000000" w:rsidDel="00000000" w:rsidP="00000000" w:rsidRDefault="00000000" w:rsidRPr="00000000">
      <w:pPr>
        <w:ind w:firstLine="0"/>
        <w:contextualSpacing w:val="0"/>
        <w:rPr/>
      </w:pPr>
      <w:r w:rsidDel="00000000" w:rsidR="00000000" w:rsidRPr="00000000">
        <w:rPr>
          <w:rtl w:val="0"/>
        </w:rPr>
        <w:t xml:space="preserve">There is no diffusive mass flux at the outlet of the cylinder (analyte is removed by convection only):</w:t>
      </w:r>
    </w:p>
    <w:tbl>
      <w:tblPr>
        <w:tblStyle w:val="Table8"/>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85"/>
        <w:gridCol w:w="5760"/>
        <w:gridCol w:w="1705"/>
        <w:tblGridChange w:id="0">
          <w:tblGrid>
            <w:gridCol w:w="1885"/>
            <w:gridCol w:w="5760"/>
            <w:gridCol w:w="1705"/>
          </w:tblGrid>
        </w:tblGridChange>
      </w:tblGrid>
      <w:tr>
        <w:tc>
          <w:tcPr/>
          <w:p w:rsidR="00000000" w:rsidDel="00000000" w:rsidP="00000000" w:rsidRDefault="00000000" w:rsidRPr="00000000">
            <w:pPr>
              <w:spacing w:after="0" w:line="360" w:lineRule="auto"/>
              <w:contextualSpacing w:val="0"/>
              <w:rPr/>
            </w:pPr>
            <w:r w:rsidDel="00000000" w:rsidR="00000000" w:rsidRPr="00000000">
              <w:rPr>
                <w:rtl w:val="0"/>
              </w:rPr>
            </w:r>
          </w:p>
        </w:tc>
        <w:tc>
          <w:tcPr/>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r>
                  <w:rPr>
                    <w:rFonts w:ascii="Cambria Math" w:cs="Cambria Math" w:eastAsia="Cambria Math" w:hAnsi="Cambria Math"/>
                  </w:rPr>
                  <m:t xml:space="preserve">-</m:t>
                </m:r>
                <m:acc>
                  <m:accPr>
                    <m:chr m:val="̂"/>
                    <m:ctrlPr>
                      <w:rPr>
                        <w:rFonts w:ascii="Cambria Math" w:cs="Cambria Math" w:eastAsia="Cambria Math" w:hAnsi="Cambria Math"/>
                      </w:rPr>
                    </m:ctrlPr>
                  </m:accPr>
                  <m:e>
                    <m:r>
                      <w:rPr>
                        <w:rFonts w:ascii="Cambria Math" w:cs="Cambria Math" w:eastAsia="Cambria Math" w:hAnsi="Cambria Math"/>
                      </w:rPr>
                      <m:t xml:space="preserve">n</m:t>
                    </m:r>
                  </m:e>
                </m:acc>
                <m:r>
                  <w:rPr>
                    <w:rFonts w:ascii="Cambria Math" w:cs="Cambria Math" w:eastAsia="Cambria Math" w:hAnsi="Cambria Math"/>
                  </w:rPr>
                  <m:t xml:space="preserve">∙</m:t>
                </m:r>
                <m:r>
                  <w:rPr/>
                  <m:t xml:space="preserve">(</m:t>
                </m:r>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D</m:t>
                    </m:r>
                  </m:e>
                  <m:sub>
                    <m:r>
                      <w:rPr>
                        <w:rFonts w:ascii="Cambria Math" w:cs="Cambria Math" w:eastAsia="Cambria Math" w:hAnsi="Cambria Math"/>
                      </w:rPr>
                      <m:t xml:space="preserve">A</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A</m:t>
                    </m:r>
                  </m:sub>
                </m:sSub>
                <m:r>
                  <w:rPr/>
                  <m:t xml:space="preserve">)</m:t>
                </m:r>
                <m:r>
                  <w:rPr>
                    <w:rFonts w:ascii="Cambria Math" w:cs="Cambria Math" w:eastAsia="Cambria Math" w:hAnsi="Cambria Math"/>
                  </w:rPr>
                  <m:t xml:space="preserve">=0</m:t>
                </m:r>
              </m:oMath>
            </m:oMathPara>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r>
    </w:tbl>
    <w:p w:rsidR="00000000" w:rsidDel="00000000" w:rsidP="00000000" w:rsidRDefault="00000000" w:rsidRPr="00000000">
      <w:pPr>
        <w:ind w:firstLine="0"/>
        <w:contextualSpacing w:val="0"/>
        <w:rPr/>
      </w:pPr>
      <w:r w:rsidDel="00000000" w:rsidR="00000000" w:rsidRPr="00000000">
        <w:rPr>
          <w:rtl w:val="0"/>
        </w:rPr>
      </w:r>
    </w:p>
    <w:p w:rsidR="00000000" w:rsidDel="00000000" w:rsidP="00000000" w:rsidRDefault="00000000" w:rsidRPr="00000000">
      <w:pPr>
        <w:spacing w:after="160" w:line="259" w:lineRule="auto"/>
        <w:ind w:firstLine="0"/>
        <w:contextualSpacing w:val="0"/>
        <w:jc w:val="left"/>
        <w:rPr>
          <w:b w:val="1"/>
        </w:rPr>
      </w:pPr>
      <w:r w:rsidDel="00000000" w:rsidR="00000000" w:rsidRPr="00000000">
        <w:br w:type="page"/>
      </w:r>
      <w:r w:rsidDel="00000000" w:rsidR="00000000" w:rsidRPr="00000000">
        <w:rPr>
          <w:rtl w:val="0"/>
        </w:rPr>
      </w:r>
    </w:p>
    <w:p w:rsidR="00000000" w:rsidDel="00000000" w:rsidP="00000000" w:rsidRDefault="00000000" w:rsidRPr="00000000">
      <w:pPr>
        <w:ind w:firstLine="0"/>
        <w:contextualSpacing w:val="0"/>
        <w:rPr>
          <w:b w:val="1"/>
        </w:rPr>
      </w:pPr>
      <w:r w:rsidDel="00000000" w:rsidR="00000000" w:rsidRPr="00000000">
        <w:rPr>
          <w:b w:val="1"/>
          <w:rtl w:val="0"/>
        </w:rPr>
        <w:t xml:space="preserve">CONCENTRATION PROFILE IN THE RETRACTED SPME DEVICE:</w:t>
      </w:r>
    </w:p>
    <w:tbl>
      <w:tblPr>
        <w:tblStyle w:val="Table9"/>
        <w:tblW w:w="935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0"/>
        <w:tblGridChange w:id="0">
          <w:tblGrid>
            <w:gridCol w:w="9350"/>
          </w:tblGrid>
        </w:tblGridChange>
      </w:tblGrid>
      <w:tr>
        <w:tc>
          <w:tcPr/>
          <w:p w:rsidR="00000000" w:rsidDel="00000000" w:rsidP="00000000" w:rsidRDefault="00000000" w:rsidRPr="00000000">
            <w:pPr>
              <w:keepNext w:val="1"/>
              <w:contextualSpacing w:val="0"/>
              <w:rPr/>
            </w:pPr>
            <w:r w:rsidDel="00000000" w:rsidR="00000000" w:rsidRPr="00000000">
              <w:rPr/>
              <w:drawing>
                <wp:inline distB="0" distT="0" distL="0" distR="0">
                  <wp:extent cx="4519714" cy="3263755"/>
                  <wp:effectExtent b="0" l="0" r="0" t="0"/>
                  <wp:docPr id="3"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519714" cy="326375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1816100</wp:posOffset>
                      </wp:positionH>
                      <wp:positionV relativeFrom="paragraph">
                        <wp:posOffset>2527300</wp:posOffset>
                      </wp:positionV>
                      <wp:extent cx="381000" cy="127000"/>
                      <wp:effectExtent b="0" l="0" r="0" t="0"/>
                      <wp:wrapNone/>
                      <wp:docPr id="5" name=""/>
                      <a:graphic>
                        <a:graphicData uri="http://schemas.microsoft.com/office/word/2010/wordprocessingShape">
                          <wps:wsp>
                            <wps:cNvCnPr/>
                            <wps:spPr>
                              <a:xfrm>
                                <a:off x="5159145" y="3716390"/>
                                <a:ext cx="373711" cy="127220"/>
                              </a:xfrm>
                              <a:prstGeom prst="straightConnector1">
                                <a:avLst/>
                              </a:prstGeom>
                              <a:noFill/>
                              <a:ln cap="flat" cmpd="sng" w="9525">
                                <a:solidFill>
                                  <a:schemeClr val="accent1"/>
                                </a:solidFill>
                                <a:prstDash val="solid"/>
                                <a:miter lim="800000"/>
                                <a:headEnd len="med" w="med" type="non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1816100</wp:posOffset>
                      </wp:positionH>
                      <wp:positionV relativeFrom="paragraph">
                        <wp:posOffset>2527300</wp:posOffset>
                      </wp:positionV>
                      <wp:extent cx="381000" cy="127000"/>
                      <wp:effectExtent b="0" l="0" r="0" t="0"/>
                      <wp:wrapNone/>
                      <wp:docPr id="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3810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812800</wp:posOffset>
                      </wp:positionH>
                      <wp:positionV relativeFrom="paragraph">
                        <wp:posOffset>2298700</wp:posOffset>
                      </wp:positionV>
                      <wp:extent cx="1295400" cy="317500"/>
                      <wp:effectExtent b="0" l="0" r="0" t="0"/>
                      <wp:wrapNone/>
                      <wp:docPr id="6" name=""/>
                      <a:graphic>
                        <a:graphicData uri="http://schemas.microsoft.com/office/word/2010/wordprocessingShape">
                          <wps:wsp>
                            <wps:cNvSpPr/>
                            <wps:cNvPr id="3" name="Shape 3"/>
                            <wps:spPr>
                              <a:xfrm>
                                <a:off x="4698921" y="3624950"/>
                                <a:ext cx="1294158" cy="310100"/>
                              </a:xfrm>
                              <a:prstGeom prst="rect">
                                <a:avLst/>
                              </a:prstGeom>
                              <a:noFill/>
                              <a:ln>
                                <a:noFill/>
                              </a:ln>
                            </wps:spPr>
                            <wps:txbx>
                              <w:txbxContent>
                                <w:p w:rsidR="00000000" w:rsidDel="00000000" w:rsidP="00000000" w:rsidRDefault="00000000" w:rsidRPr="00000000">
                                  <w:pPr>
                                    <w:spacing w:after="120" w:before="0" w:line="480"/>
                                    <w:ind w:left="0" w:right="0" w:firstLine="72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Sample</w:t>
                                  </w:r>
                                </w:p>
                              </w:txbxContent>
                            </wps:txbx>
                            <wps:bodyPr anchorCtr="0" anchor="t" bIns="45700" lIns="91425"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812800</wp:posOffset>
                      </wp:positionH>
                      <wp:positionV relativeFrom="paragraph">
                        <wp:posOffset>2298700</wp:posOffset>
                      </wp:positionV>
                      <wp:extent cx="1295400" cy="317500"/>
                      <wp:effectExtent b="0" l="0" r="0" t="0"/>
                      <wp:wrapNone/>
                      <wp:docPr id="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295400" cy="317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2019300</wp:posOffset>
                      </wp:positionH>
                      <wp:positionV relativeFrom="paragraph">
                        <wp:posOffset>1295400</wp:posOffset>
                      </wp:positionV>
                      <wp:extent cx="381000" cy="127000"/>
                      <wp:effectExtent b="0" l="0" r="0" t="0"/>
                      <wp:wrapNone/>
                      <wp:docPr id="10" name=""/>
                      <a:graphic>
                        <a:graphicData uri="http://schemas.microsoft.com/office/word/2010/wordprocessingShape">
                          <wps:wsp>
                            <wps:cNvCnPr/>
                            <wps:spPr>
                              <a:xfrm>
                                <a:off x="5159145" y="3716390"/>
                                <a:ext cx="373711" cy="127220"/>
                              </a:xfrm>
                              <a:prstGeom prst="straightConnector1">
                                <a:avLst/>
                              </a:prstGeom>
                              <a:noFill/>
                              <a:ln cap="flat" cmpd="sng" w="9525">
                                <a:solidFill>
                                  <a:schemeClr val="accent1"/>
                                </a:solidFill>
                                <a:prstDash val="solid"/>
                                <a:miter lim="800000"/>
                                <a:headEnd len="med" w="med" type="non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2019300</wp:posOffset>
                      </wp:positionH>
                      <wp:positionV relativeFrom="paragraph">
                        <wp:posOffset>1295400</wp:posOffset>
                      </wp:positionV>
                      <wp:extent cx="381000" cy="127000"/>
                      <wp:effectExtent b="0" l="0" r="0" t="0"/>
                      <wp:wrapNone/>
                      <wp:docPr id="10"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3810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1219200</wp:posOffset>
                      </wp:positionH>
                      <wp:positionV relativeFrom="paragraph">
                        <wp:posOffset>1003300</wp:posOffset>
                      </wp:positionV>
                      <wp:extent cx="1295400" cy="292100"/>
                      <wp:effectExtent b="0" l="0" r="0" t="0"/>
                      <wp:wrapNone/>
                      <wp:docPr id="14" name=""/>
                      <a:graphic>
                        <a:graphicData uri="http://schemas.microsoft.com/office/word/2010/wordprocessingShape">
                          <wps:wsp>
                            <wps:cNvSpPr/>
                            <wps:cNvPr id="14" name="Shape 14"/>
                            <wps:spPr>
                              <a:xfrm>
                                <a:off x="4698921" y="3632901"/>
                                <a:ext cx="1294158" cy="294198"/>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SPME fiber</w:t>
                                  </w:r>
                                </w:p>
                              </w:txbxContent>
                            </wps:txbx>
                            <wps:bodyPr anchorCtr="0" anchor="t" bIns="45700" lIns="91425"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1219200</wp:posOffset>
                      </wp:positionH>
                      <wp:positionV relativeFrom="paragraph">
                        <wp:posOffset>1003300</wp:posOffset>
                      </wp:positionV>
                      <wp:extent cx="1295400" cy="292100"/>
                      <wp:effectExtent b="0" l="0" r="0" t="0"/>
                      <wp:wrapNone/>
                      <wp:docPr id="14"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1295400" cy="292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2019300</wp:posOffset>
                      </wp:positionH>
                      <wp:positionV relativeFrom="paragraph">
                        <wp:posOffset>2222500</wp:posOffset>
                      </wp:positionV>
                      <wp:extent cx="381000" cy="127000"/>
                      <wp:effectExtent b="0" l="0" r="0" t="0"/>
                      <wp:wrapNone/>
                      <wp:docPr id="7" name=""/>
                      <a:graphic>
                        <a:graphicData uri="http://schemas.microsoft.com/office/word/2010/wordprocessingShape">
                          <wps:wsp>
                            <wps:cNvCnPr/>
                            <wps:spPr>
                              <a:xfrm>
                                <a:off x="5159145" y="3716390"/>
                                <a:ext cx="373711" cy="127220"/>
                              </a:xfrm>
                              <a:prstGeom prst="straightConnector1">
                                <a:avLst/>
                              </a:prstGeom>
                              <a:noFill/>
                              <a:ln cap="flat" cmpd="sng" w="9525">
                                <a:solidFill>
                                  <a:schemeClr val="accent1"/>
                                </a:solidFill>
                                <a:prstDash val="solid"/>
                                <a:miter lim="800000"/>
                                <a:headEnd len="med" w="med" type="non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2019300</wp:posOffset>
                      </wp:positionH>
                      <wp:positionV relativeFrom="paragraph">
                        <wp:posOffset>2222500</wp:posOffset>
                      </wp:positionV>
                      <wp:extent cx="381000" cy="127000"/>
                      <wp:effectExtent b="0" l="0" r="0" t="0"/>
                      <wp:wrapNone/>
                      <wp:docPr id="7"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3810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1016000</wp:posOffset>
                      </wp:positionH>
                      <wp:positionV relativeFrom="paragraph">
                        <wp:posOffset>1930400</wp:posOffset>
                      </wp:positionV>
                      <wp:extent cx="1295400" cy="292100"/>
                      <wp:effectExtent b="0" l="0" r="0" t="0"/>
                      <wp:wrapNone/>
                      <wp:docPr id="9" name=""/>
                      <a:graphic>
                        <a:graphicData uri="http://schemas.microsoft.com/office/word/2010/wordprocessingShape">
                          <wps:wsp>
                            <wps:cNvSpPr/>
                            <wps:cNvPr id="6" name="Shape 6"/>
                            <wps:spPr>
                              <a:xfrm>
                                <a:off x="4698921" y="3632901"/>
                                <a:ext cx="1294158" cy="294198"/>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Needle opening</w:t>
                                  </w:r>
                                </w:p>
                              </w:txbxContent>
                            </wps:txbx>
                            <wps:bodyPr anchorCtr="0" anchor="t" bIns="45700" lIns="91425"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1016000</wp:posOffset>
                      </wp:positionH>
                      <wp:positionV relativeFrom="paragraph">
                        <wp:posOffset>1930400</wp:posOffset>
                      </wp:positionV>
                      <wp:extent cx="1295400" cy="292100"/>
                      <wp:effectExtent b="0" l="0" r="0" t="0"/>
                      <wp:wrapNone/>
                      <wp:docPr id="9"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1295400" cy="292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3962400</wp:posOffset>
                      </wp:positionH>
                      <wp:positionV relativeFrom="paragraph">
                        <wp:posOffset>88900</wp:posOffset>
                      </wp:positionV>
                      <wp:extent cx="1295400" cy="292100"/>
                      <wp:effectExtent b="0" l="0" r="0" t="0"/>
                      <wp:wrapNone/>
                      <wp:docPr id="12" name=""/>
                      <a:graphic>
                        <a:graphicData uri="http://schemas.microsoft.com/office/word/2010/wordprocessingShape">
                          <wps:wsp>
                            <wps:cNvSpPr/>
                            <wps:cNvPr id="9" name="Shape 9"/>
                            <wps:spPr>
                              <a:xfrm>
                                <a:off x="4698921" y="3632901"/>
                                <a:ext cx="1294158" cy="294198"/>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ng/ml</w:t>
                                  </w:r>
                                </w:p>
                              </w:txbxContent>
                            </wps:txbx>
                            <wps:bodyPr anchorCtr="0" anchor="t" bIns="45700" lIns="91425"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3962400</wp:posOffset>
                      </wp:positionH>
                      <wp:positionV relativeFrom="paragraph">
                        <wp:posOffset>88900</wp:posOffset>
                      </wp:positionV>
                      <wp:extent cx="1295400" cy="292100"/>
                      <wp:effectExtent b="0" l="0" r="0" t="0"/>
                      <wp:wrapNone/>
                      <wp:docPr id="12" name="image24.png"/>
                      <a:graphic>
                        <a:graphicData uri="http://schemas.openxmlformats.org/drawingml/2006/picture">
                          <pic:pic>
                            <pic:nvPicPr>
                              <pic:cNvPr id="0" name="image24.png"/>
                              <pic:cNvPicPr preferRelativeResize="0"/>
                            </pic:nvPicPr>
                            <pic:blipFill>
                              <a:blip r:embed="rId13"/>
                              <a:srcRect/>
                              <a:stretch>
                                <a:fillRect/>
                              </a:stretch>
                            </pic:blipFill>
                            <pic:spPr>
                              <a:xfrm>
                                <a:off x="0" y="0"/>
                                <a:ext cx="1295400" cy="292100"/>
                              </a:xfrm>
                              <a:prstGeom prst="rect"/>
                              <a:ln/>
                            </pic:spPr>
                          </pic:pic>
                        </a:graphicData>
                      </a:graphic>
                    </wp:anchor>
                  </w:drawing>
                </mc:Fallback>
              </mc:AlternateConten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S 1. Concentration profile with a SPME fiber in a needle. For the simulation, the fluid velocity was set at 10 cm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250 μm and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5 mm. </w:t>
            </w:r>
          </w:p>
          <w:p w:rsidR="00000000" w:rsidDel="00000000" w:rsidP="00000000" w:rsidRDefault="00000000" w:rsidRPr="00000000">
            <w:pPr>
              <w:ind w:firstLine="0"/>
              <w:contextualSpacing w:val="0"/>
              <w:rPr/>
            </w:pPr>
            <w:r w:rsidDel="00000000" w:rsidR="00000000" w:rsidRPr="00000000">
              <w:rPr>
                <w:rtl w:val="0"/>
              </w:rPr>
            </w:r>
          </w:p>
        </w:tc>
      </w:tr>
    </w:tbl>
    <w:p w:rsidR="00000000" w:rsidDel="00000000" w:rsidP="00000000" w:rsidRDefault="00000000" w:rsidRPr="00000000">
      <w:pPr>
        <w:contextualSpacing w:val="0"/>
        <w:rPr/>
      </w:pPr>
      <w:r w:rsidDel="00000000" w:rsidR="00000000" w:rsidRPr="00000000">
        <w:rPr>
          <w:rtl w:val="0"/>
        </w:rPr>
      </w:r>
    </w:p>
    <w:tbl>
      <w:tblPr>
        <w:tblStyle w:val="Table10"/>
        <w:tblW w:w="981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10"/>
        <w:tblGridChange w:id="0">
          <w:tblGrid>
            <w:gridCol w:w="9810"/>
          </w:tblGrid>
        </w:tblGridChange>
      </w:tblGrid>
      <w:tr>
        <w:tc>
          <w:tcPr/>
          <w:p w:rsidR="00000000" w:rsidDel="00000000" w:rsidP="00000000" w:rsidRDefault="00000000" w:rsidRPr="00000000">
            <w:pPr>
              <w:keepNext w:val="1"/>
              <w:ind w:firstLine="0"/>
              <w:contextualSpacing w:val="0"/>
              <w:jc w:val="center"/>
              <w:rPr/>
            </w:pPr>
            <w:r w:rsidDel="00000000" w:rsidR="00000000" w:rsidRPr="00000000">
              <w:rPr/>
              <w:drawing>
                <wp:inline distB="0" distT="0" distL="0" distR="0">
                  <wp:extent cx="2840990" cy="2840990"/>
                  <wp:effectExtent b="0" l="0" r="0" t="0"/>
                  <wp:docPr id="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840990" cy="2840990"/>
                          </a:xfrm>
                          <a:prstGeom prst="rect"/>
                          <a:ln/>
                        </pic:spPr>
                      </pic:pic>
                    </a:graphicData>
                  </a:graphic>
                </wp:inline>
              </w:drawing>
            </w:r>
            <w:r w:rsidDel="00000000" w:rsidR="00000000" w:rsidRPr="00000000">
              <w:rPr/>
              <w:drawing>
                <wp:inline distB="0" distT="0" distL="0" distR="0">
                  <wp:extent cx="4027963" cy="2419005"/>
                  <wp:effectExtent b="0" l="0" r="0" t="0"/>
                  <wp:docPr id="4"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4027963" cy="241900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margin">
                        <wp:posOffset>1028700</wp:posOffset>
                      </wp:positionH>
                      <wp:positionV relativeFrom="paragraph">
                        <wp:posOffset>0</wp:posOffset>
                      </wp:positionV>
                      <wp:extent cx="1168400" cy="469900"/>
                      <wp:effectExtent b="0" l="0" r="0" t="0"/>
                      <wp:wrapNone/>
                      <wp:docPr id="11" name=""/>
                      <a:graphic>
                        <a:graphicData uri="http://schemas.microsoft.com/office/word/2010/wordprocessingShape">
                          <wps:wsp>
                            <wps:cNvSpPr/>
                            <wps:cNvPr id="8" name="Shape 8"/>
                            <wps:spPr>
                              <a:xfrm>
                                <a:off x="4761483" y="3546320"/>
                                <a:ext cx="1169035" cy="467360"/>
                              </a:xfrm>
                              <a:prstGeom prst="rect">
                                <a:avLst/>
                              </a:prstGeom>
                              <a:noFill/>
                              <a:ln>
                                <a:noFill/>
                              </a:ln>
                            </wps:spPr>
                            <wps:txbx>
                              <w:txbxContent>
                                <w:p w:rsidR="00000000" w:rsidDel="00000000" w:rsidP="00000000" w:rsidRDefault="00000000" w:rsidRPr="00000000">
                                  <w:pPr>
                                    <w:spacing w:after="120" w:before="0" w:line="480"/>
                                    <w:ind w:left="0" w:right="0" w:firstLine="72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w:t>
                                  </w:r>
                                </w:p>
                              </w:txbxContent>
                            </wps:txbx>
                            <wps:bodyPr anchorCtr="0" anchor="t" bIns="45700" lIns="91425" rIns="91425" wrap="square" tIns="45700"/>
                          </wps:wsp>
                        </a:graphicData>
                      </a:graphic>
                    </wp:anchor>
                  </w:drawing>
                </mc:Choice>
                <mc:Fallback>
                  <w:drawing>
                    <wp:anchor allowOverlap="1" behindDoc="0" distB="45720" distT="45720" distL="114300" distR="114300" hidden="0" layoutInCell="1" locked="0" relativeHeight="0" simplePos="0">
                      <wp:simplePos x="0" y="0"/>
                      <wp:positionH relativeFrom="margin">
                        <wp:posOffset>1028700</wp:posOffset>
                      </wp:positionH>
                      <wp:positionV relativeFrom="paragraph">
                        <wp:posOffset>0</wp:posOffset>
                      </wp:positionV>
                      <wp:extent cx="1168400" cy="469900"/>
                      <wp:effectExtent b="0" l="0" r="0" t="0"/>
                      <wp:wrapNone/>
                      <wp:docPr id="11" name="image22.png"/>
                      <a:graphic>
                        <a:graphicData uri="http://schemas.openxmlformats.org/drawingml/2006/picture">
                          <pic:pic>
                            <pic:nvPicPr>
                              <pic:cNvPr id="0" name="image22.png"/>
                              <pic:cNvPicPr preferRelativeResize="0"/>
                            </pic:nvPicPr>
                            <pic:blipFill>
                              <a:blip r:embed="rId16"/>
                              <a:srcRect/>
                              <a:stretch>
                                <a:fillRect/>
                              </a:stretch>
                            </pic:blipFill>
                            <pic:spPr>
                              <a:xfrm>
                                <a:off x="0" y="0"/>
                                <a:ext cx="1168400" cy="46990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margin">
                        <wp:posOffset>508000</wp:posOffset>
                      </wp:positionH>
                      <wp:positionV relativeFrom="paragraph">
                        <wp:posOffset>2921000</wp:posOffset>
                      </wp:positionV>
                      <wp:extent cx="1168400" cy="469900"/>
                      <wp:effectExtent b="0" l="0" r="0" t="0"/>
                      <wp:wrapNone/>
                      <wp:docPr id="8" name=""/>
                      <a:graphic>
                        <a:graphicData uri="http://schemas.microsoft.com/office/word/2010/wordprocessingShape">
                          <wps:wsp>
                            <wps:cNvSpPr/>
                            <wps:cNvPr id="5" name="Shape 5"/>
                            <wps:spPr>
                              <a:xfrm>
                                <a:off x="4761483" y="3546320"/>
                                <a:ext cx="1169035" cy="467360"/>
                              </a:xfrm>
                              <a:prstGeom prst="rect">
                                <a:avLst/>
                              </a:prstGeom>
                              <a:noFill/>
                              <a:ln>
                                <a:noFill/>
                              </a:ln>
                            </wps:spPr>
                            <wps:txbx>
                              <w:txbxContent>
                                <w:p w:rsidR="00000000" w:rsidDel="00000000" w:rsidP="00000000" w:rsidRDefault="00000000" w:rsidRPr="00000000">
                                  <w:pPr>
                                    <w:spacing w:after="120" w:before="0" w:line="480"/>
                                    <w:ind w:left="0" w:right="0" w:firstLine="72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b)</w:t>
                                  </w:r>
                                </w:p>
                              </w:txbxContent>
                            </wps:txbx>
                            <wps:bodyPr anchorCtr="0" anchor="t" bIns="45700" lIns="91425" rIns="91425" wrap="square" tIns="45700"/>
                          </wps:wsp>
                        </a:graphicData>
                      </a:graphic>
                    </wp:anchor>
                  </w:drawing>
                </mc:Choice>
                <mc:Fallback>
                  <w:drawing>
                    <wp:anchor allowOverlap="1" behindDoc="0" distB="45720" distT="45720" distL="114300" distR="114300" hidden="0" layoutInCell="1" locked="0" relativeHeight="0" simplePos="0">
                      <wp:simplePos x="0" y="0"/>
                      <wp:positionH relativeFrom="margin">
                        <wp:posOffset>508000</wp:posOffset>
                      </wp:positionH>
                      <wp:positionV relativeFrom="paragraph">
                        <wp:posOffset>2921000</wp:posOffset>
                      </wp:positionV>
                      <wp:extent cx="1168400" cy="469900"/>
                      <wp:effectExtent b="0" l="0" r="0" t="0"/>
                      <wp:wrapNone/>
                      <wp:docPr id="8" name="image16.png"/>
                      <a:graphic>
                        <a:graphicData uri="http://schemas.openxmlformats.org/drawingml/2006/picture">
                          <pic:pic>
                            <pic:nvPicPr>
                              <pic:cNvPr id="0" name="image16.png"/>
                              <pic:cNvPicPr preferRelativeResize="0"/>
                            </pic:nvPicPr>
                            <pic:blipFill>
                              <a:blip r:embed="rId17"/>
                              <a:srcRect/>
                              <a:stretch>
                                <a:fillRect/>
                              </a:stretch>
                            </pic:blipFill>
                            <pic:spPr>
                              <a:xfrm>
                                <a:off x="0" y="0"/>
                                <a:ext cx="1168400" cy="469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2197100</wp:posOffset>
                      </wp:positionH>
                      <wp:positionV relativeFrom="paragraph">
                        <wp:posOffset>2146300</wp:posOffset>
                      </wp:positionV>
                      <wp:extent cx="330200" cy="1041400"/>
                      <wp:effectExtent b="0" l="0" r="0" t="0"/>
                      <wp:wrapNone/>
                      <wp:docPr id="13" name=""/>
                      <a:graphic>
                        <a:graphicData uri="http://schemas.microsoft.com/office/word/2010/wordprocessingGroup">
                          <wpg:wgp>
                            <wpg:cNvGrpSpPr/>
                            <wpg:grpSpPr>
                              <a:xfrm>
                                <a:off x="5175144" y="3259148"/>
                                <a:ext cx="330200" cy="1041400"/>
                                <a:chOff x="5175144" y="3259148"/>
                                <a:chExt cx="341713" cy="1041704"/>
                              </a:xfrm>
                            </wpg:grpSpPr>
                            <wpg:grpSp>
                              <wpg:cNvGrpSpPr/>
                              <wpg:grpSpPr>
                                <a:xfrm>
                                  <a:off x="5175144" y="3259148"/>
                                  <a:ext cx="341713" cy="1041704"/>
                                  <a:chOff x="0" y="0"/>
                                  <a:chExt cx="341713" cy="1041704"/>
                                </a:xfrm>
                              </wpg:grpSpPr>
                              <wps:wsp>
                                <wps:cNvSpPr/>
                                <wps:cNvPr id="11" name="Shape 11"/>
                                <wps:spPr>
                                  <a:xfrm>
                                    <a:off x="0" y="0"/>
                                    <a:ext cx="341700" cy="1041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2" name="Shape 12"/>
                                <wps:spPr>
                                  <a:xfrm>
                                    <a:off x="0" y="0"/>
                                    <a:ext cx="341713" cy="230588"/>
                                  </a:xfrm>
                                  <a:prstGeom prst="ellipse">
                                    <a:avLst/>
                                  </a:prstGeom>
                                  <a:noFill/>
                                  <a:ln cap="flat" cmpd="sng" w="12700">
                                    <a:solidFill>
                                      <a:srgbClr val="7030A0"/>
                                    </a:solidFill>
                                    <a:prstDash val="solid"/>
                                    <a:miter lim="800000"/>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CnPr/>
                                <wps:spPr>
                                  <a:xfrm>
                                    <a:off x="230588" y="230588"/>
                                    <a:ext cx="111042" cy="811116"/>
                                  </a:xfrm>
                                  <a:prstGeom prst="straightConnector1">
                                    <a:avLst/>
                                  </a:prstGeom>
                                  <a:noFill/>
                                  <a:ln cap="flat" cmpd="sng" w="9525">
                                    <a:solidFill>
                                      <a:schemeClr val="accent1"/>
                                    </a:solidFill>
                                    <a:prstDash val="solid"/>
                                    <a:miter lim="800000"/>
                                    <a:headEnd len="med" w="med" type="none"/>
                                    <a:tailEnd len="lg" w="lg" type="triangle"/>
                                  </a:ln>
                                </wps:spPr>
                                <wps:bodyPr anchorCtr="0" anchor="ctr" bIns="91425" lIns="91425"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margin">
                        <wp:posOffset>2197100</wp:posOffset>
                      </wp:positionH>
                      <wp:positionV relativeFrom="paragraph">
                        <wp:posOffset>2146300</wp:posOffset>
                      </wp:positionV>
                      <wp:extent cx="330200" cy="1041400"/>
                      <wp:effectExtent b="0" l="0" r="0" t="0"/>
                      <wp:wrapNone/>
                      <wp:docPr id="13" name="image26.png"/>
                      <a:graphic>
                        <a:graphicData uri="http://schemas.openxmlformats.org/drawingml/2006/picture">
                          <pic:pic>
                            <pic:nvPicPr>
                              <pic:cNvPr id="0" name="image26.png"/>
                              <pic:cNvPicPr preferRelativeResize="0"/>
                            </pic:nvPicPr>
                            <pic:blipFill>
                              <a:blip r:embed="rId18"/>
                              <a:srcRect/>
                              <a:stretch>
                                <a:fillRect/>
                              </a:stretch>
                            </pic:blipFill>
                            <pic:spPr>
                              <a:xfrm>
                                <a:off x="0" y="0"/>
                                <a:ext cx="330200" cy="1041400"/>
                              </a:xfrm>
                              <a:prstGeom prst="rect"/>
                              <a:ln/>
                            </pic:spPr>
                          </pic:pic>
                        </a:graphicData>
                      </a:graphic>
                    </wp:anchor>
                  </w:drawing>
                </mc:Fallback>
              </mc:AlternateConten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120" w:line="360" w:lineRule="auto"/>
              <w:ind w:left="432" w:right="432"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S 2. (a) Dependence of diffusion coefficient value of analyte on the extraction time profiles obtained from a retracted SPME device. Flow velocity was set at 0.2 cm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analyte concentration was set at 20 ng ml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 Time to reach steady state concentration or constant flux magnitude. Therefore, response time is much shorter than the linear regime of the extraction time profile shown in Figure S 2 a.  </w:t>
            </w:r>
          </w:p>
        </w:tc>
      </w:tr>
    </w:tbl>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spacing w:after="160" w:line="259" w:lineRule="auto"/>
        <w:ind w:firstLine="0"/>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Table S1. Model parameters used in the simulations. </w:t>
      </w:r>
    </w:p>
    <w:tbl>
      <w:tblPr>
        <w:tblStyle w:val="Table11"/>
        <w:tblW w:w="9350.0" w:type="dxa"/>
        <w:jc w:val="left"/>
        <w:tblInd w:w="0.0" w:type="dxa"/>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985"/>
        <w:gridCol w:w="6480"/>
        <w:gridCol w:w="1885"/>
        <w:tblGridChange w:id="0">
          <w:tblGrid>
            <w:gridCol w:w="985"/>
            <w:gridCol w:w="6480"/>
            <w:gridCol w:w="1885"/>
          </w:tblGrid>
        </w:tblGridChange>
      </w:tblGrid>
      <w:tr>
        <w:tc>
          <w:tcPr>
            <w:tcBorders>
              <w:top w:color="000000" w:space="0" w:sz="4" w:val="single"/>
              <w:bottom w:color="000000" w:space="0" w:sz="4" w:val="single"/>
            </w:tcBorders>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Symbol</w:t>
            </w:r>
          </w:p>
        </w:tc>
        <w:tc>
          <w:tcPr>
            <w:tcBorders>
              <w:top w:color="000000" w:space="0" w:sz="4" w:val="single"/>
              <w:bottom w:color="000000" w:space="0" w:sz="4" w:val="single"/>
            </w:tcBorders>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Name</w:t>
            </w:r>
          </w:p>
        </w:tc>
        <w:tc>
          <w:tcPr>
            <w:tcBorders>
              <w:top w:color="000000" w:space="0" w:sz="4" w:val="single"/>
              <w:bottom w:color="000000" w:space="0" w:sz="4" w:val="single"/>
            </w:tcBorders>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Units</w:t>
            </w:r>
          </w:p>
        </w:tc>
      </w:tr>
      <w:tr>
        <w:tc>
          <w:tcPr>
            <w:tcBorders>
              <w:top w:color="000000" w:space="0" w:sz="4" w:val="single"/>
            </w:tcBorders>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D</w:t>
            </w:r>
            <w:r w:rsidDel="00000000" w:rsidR="00000000" w:rsidRPr="00000000">
              <w:rPr>
                <w:i w:val="1"/>
                <w:vertAlign w:val="subscript"/>
                <w:rtl w:val="0"/>
              </w:rPr>
              <w:t xml:space="preserve">s</w:t>
            </w:r>
            <w:r w:rsidDel="00000000" w:rsidR="00000000" w:rsidRPr="00000000">
              <w:rPr>
                <w:rtl w:val="0"/>
              </w:rPr>
            </w:r>
          </w:p>
        </w:tc>
        <w:tc>
          <w:tcPr>
            <w:tcBorders>
              <w:top w:color="000000" w:space="0" w:sz="4" w:val="single"/>
            </w:tcBorders>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Diffusion coefficient in solution</w:t>
            </w:r>
          </w:p>
        </w:tc>
        <w:tc>
          <w:tcPr>
            <w:tcBorders>
              <w:top w:color="000000" w:space="0" w:sz="4" w:val="single"/>
            </w:tcBorders>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cm</w:t>
            </w:r>
            <w:r w:rsidDel="00000000" w:rsidR="00000000" w:rsidRPr="00000000">
              <w:rPr>
                <w:vertAlign w:val="superscript"/>
                <w:rtl w:val="0"/>
              </w:rPr>
              <w:t xml:space="preserve">2</w:t>
            </w:r>
            <w:r w:rsidDel="00000000" w:rsidR="00000000" w:rsidRPr="00000000">
              <w:rPr>
                <w:rtl w:val="0"/>
              </w:rPr>
              <w:t xml:space="preserve"> 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bookmarkStart w:colFirst="0" w:colLast="0" w:name="_1fob9te" w:id="2"/>
            <w:bookmarkEnd w:id="2"/>
            <w:r w:rsidDel="00000000" w:rsidR="00000000" w:rsidRPr="00000000">
              <w:rPr>
                <w:i w:val="1"/>
                <w:rtl w:val="0"/>
              </w:rPr>
              <w:t xml:space="preserve">D</w:t>
            </w:r>
            <w:r w:rsidDel="00000000" w:rsidR="00000000" w:rsidRPr="00000000">
              <w:rPr>
                <w:i w:val="1"/>
                <w:vertAlign w:val="subscript"/>
                <w:rtl w:val="0"/>
              </w:rPr>
              <w:t xml:space="preserve">e</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Diffusion coefficient of analyte in the coating</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cm</w:t>
            </w:r>
            <w:r w:rsidDel="00000000" w:rsidR="00000000" w:rsidRPr="00000000">
              <w:rPr>
                <w:vertAlign w:val="superscript"/>
                <w:rtl w:val="0"/>
              </w:rPr>
              <w:t xml:space="preserve">2</w:t>
            </w:r>
            <w:r w:rsidDel="00000000" w:rsidR="00000000" w:rsidRPr="00000000">
              <w:rPr>
                <w:rtl w:val="0"/>
              </w:rPr>
              <w:t xml:space="preserve"> 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F</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Flux</w:t>
            </w:r>
          </w:p>
        </w:tc>
        <w:tc>
          <w:tcPr/>
          <w:p w:rsidR="00000000" w:rsidDel="00000000" w:rsidP="00000000" w:rsidRDefault="00000000" w:rsidRPr="00000000">
            <w:pPr>
              <w:spacing w:after="0" w:line="360" w:lineRule="auto"/>
              <w:ind w:left="720" w:hanging="720"/>
              <w:contextualSpacing w:val="0"/>
              <w:rPr/>
            </w:pPr>
            <w:r w:rsidDel="00000000" w:rsidR="00000000" w:rsidRPr="00000000">
              <w:rPr>
                <w:rtl w:val="0"/>
              </w:rPr>
              <w:t xml:space="preserve">ng 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Equilibrium partition coefficient between coating surface and sample solution</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liter mol</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r w:rsidDel="00000000" w:rsidR="00000000" w:rsidRPr="00000000">
              <w:rPr>
                <w:i w:val="1"/>
                <w:vertAlign w:val="subscript"/>
                <w:rtl w:val="0"/>
              </w:rPr>
              <w:t xml:space="preserve">ads</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Rate constant of adsorption on surface</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r w:rsidDel="00000000" w:rsidR="00000000" w:rsidRPr="00000000">
              <w:rPr>
                <w:i w:val="1"/>
                <w:vertAlign w:val="subscript"/>
                <w:rtl w:val="0"/>
              </w:rPr>
              <w:t xml:space="preserve">des</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Rate constant of desorption from surface</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A</w:t>
            </w:r>
            <w:r w:rsidDel="00000000" w:rsidR="00000000" w:rsidRPr="00000000">
              <w:rPr>
                <w:i w:val="1"/>
                <w:vertAlign w:val="subscript"/>
                <w:rtl w:val="0"/>
              </w:rPr>
              <w:t xml:space="preserve">s</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Surface area of extractant</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r w:rsidDel="00000000" w:rsidR="00000000" w:rsidRPr="00000000">
              <w:rPr>
                <w:i w:val="1"/>
                <w:vertAlign w:val="subscript"/>
                <w:rtl w:val="0"/>
              </w:rPr>
              <w:t xml:space="preserve">a</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Association constant between analyte and matrix component</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M</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r w:rsidDel="00000000" w:rsidR="00000000" w:rsidRPr="00000000">
              <w:rPr>
                <w:i w:val="1"/>
                <w:vertAlign w:val="subscript"/>
                <w:rtl w:val="0"/>
              </w:rPr>
              <w:t xml:space="preserve">f</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rate constant for forward reaction</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M</w:t>
            </w:r>
            <w:r w:rsidDel="00000000" w:rsidR="00000000" w:rsidRPr="00000000">
              <w:rPr>
                <w:vertAlign w:val="superscript"/>
                <w:rtl w:val="0"/>
              </w:rPr>
              <w:t xml:space="preserve">‒1</w:t>
            </w:r>
            <w:r w:rsidDel="00000000" w:rsidR="00000000" w:rsidRPr="00000000">
              <w:rPr>
                <w:rtl w:val="0"/>
              </w:rPr>
              <w:t xml:space="preserve"> 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k</w:t>
            </w:r>
            <w:r w:rsidDel="00000000" w:rsidR="00000000" w:rsidRPr="00000000">
              <w:rPr>
                <w:i w:val="1"/>
                <w:vertAlign w:val="subscript"/>
                <w:rtl w:val="0"/>
              </w:rPr>
              <w:t xml:space="preserve">r</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Rate constant for reverse reaction</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s</w:t>
            </w:r>
            <w:r w:rsidDel="00000000" w:rsidR="00000000" w:rsidRPr="00000000">
              <w:rPr>
                <w:vertAlign w:val="superscript"/>
                <w:rtl w:val="0"/>
              </w:rPr>
              <w:t xml:space="preserve">‒1</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Γ</w:t>
            </w:r>
            <w:r w:rsidDel="00000000" w:rsidR="00000000" w:rsidRPr="00000000">
              <w:rPr>
                <w:i w:val="1"/>
                <w:vertAlign w:val="subscript"/>
                <w:rtl w:val="0"/>
              </w:rPr>
              <w:t xml:space="preserve">max</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Maximum surface concentration</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ng m</w:t>
            </w:r>
            <w:r w:rsidDel="00000000" w:rsidR="00000000" w:rsidRPr="00000000">
              <w:rPr>
                <w:vertAlign w:val="superscript"/>
                <w:rtl w:val="0"/>
              </w:rPr>
              <w:t xml:space="preserve">‒2</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C</w:t>
            </w:r>
            <w:r w:rsidDel="00000000" w:rsidR="00000000" w:rsidRPr="00000000">
              <w:rPr>
                <w:i w:val="1"/>
                <w:vertAlign w:val="subscript"/>
                <w:rtl w:val="0"/>
              </w:rPr>
              <w:t xml:space="preserve">A</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Concentration of analyte in extractant</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ng m</w:t>
            </w:r>
            <w:r w:rsidDel="00000000" w:rsidR="00000000" w:rsidRPr="00000000">
              <w:rPr>
                <w:vertAlign w:val="superscript"/>
                <w:rtl w:val="0"/>
              </w:rPr>
              <w:t xml:space="preserve">‒3</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C</w:t>
            </w:r>
            <w:r w:rsidDel="00000000" w:rsidR="00000000" w:rsidRPr="00000000">
              <w:rPr>
                <w:i w:val="1"/>
                <w:vertAlign w:val="subscript"/>
                <w:rtl w:val="0"/>
              </w:rPr>
              <w:t xml:space="preserve">B</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Concentration of binding component in sample</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ng m</w:t>
            </w:r>
            <w:r w:rsidDel="00000000" w:rsidR="00000000" w:rsidRPr="00000000">
              <w:rPr>
                <w:vertAlign w:val="superscript"/>
                <w:rtl w:val="0"/>
              </w:rPr>
              <w:t xml:space="preserve">‒3</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i w:val="1"/>
              </w:rPr>
            </w:pPr>
            <w:r w:rsidDel="00000000" w:rsidR="00000000" w:rsidRPr="00000000">
              <w:rPr>
                <w:i w:val="1"/>
                <w:rtl w:val="0"/>
              </w:rPr>
              <w:t xml:space="preserve">C</w:t>
            </w:r>
            <w:r w:rsidDel="00000000" w:rsidR="00000000" w:rsidRPr="00000000">
              <w:rPr>
                <w:i w:val="1"/>
                <w:vertAlign w:val="subscript"/>
                <w:rtl w:val="0"/>
              </w:rPr>
              <w:t xml:space="preserve">AB</w:t>
            </w:r>
            <w:r w:rsidDel="00000000" w:rsidR="00000000" w:rsidRPr="00000000">
              <w:rPr>
                <w:rtl w:val="0"/>
              </w:rPr>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Concentration of analyte-matrix component complex in sample</w:t>
            </w:r>
          </w:p>
        </w:tc>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ng m</w:t>
            </w:r>
            <w:r w:rsidDel="00000000" w:rsidR="00000000" w:rsidRPr="00000000">
              <w:rPr>
                <w:vertAlign w:val="superscript"/>
                <w:rtl w:val="0"/>
              </w:rPr>
              <w:t xml:space="preserve">‒3</w:t>
            </w:r>
            <w:r w:rsidDel="00000000" w:rsidR="00000000" w:rsidRPr="00000000">
              <w:rPr>
                <w:rtl w:val="0"/>
              </w:rPr>
            </w:r>
          </w:p>
        </w:tc>
      </w:tr>
    </w:tbl>
    <w:p w:rsidR="00000000" w:rsidDel="00000000" w:rsidP="00000000" w:rsidRDefault="00000000" w:rsidRPr="00000000">
      <w:pPr>
        <w:spacing w:after="160" w:line="259" w:lineRule="auto"/>
        <w:ind w:firstLine="0"/>
        <w:contextualSpacing w:val="0"/>
        <w:jc w:val="left"/>
        <w:rPr>
          <w:b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w:t>
      </w:r>
    </w:p>
    <w:p w:rsidR="00000000" w:rsidDel="00000000" w:rsidP="00000000" w:rsidRDefault="00000000" w:rsidRPr="00000000">
      <w:pPr>
        <w:spacing w:after="160" w:line="259" w:lineRule="auto"/>
        <w:ind w:firstLine="0"/>
        <w:contextualSpacing w:val="0"/>
        <w:jc w:val="left"/>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Table S2. Quantitative evaluation of the correspondence between the numerical model and the experimental data.</w:t>
      </w:r>
    </w:p>
    <w:tbl>
      <w:tblPr>
        <w:tblStyle w:val="Table12"/>
        <w:tblW w:w="81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3870"/>
        <w:tblGridChange w:id="0">
          <w:tblGrid>
            <w:gridCol w:w="4315"/>
            <w:gridCol w:w="3870"/>
          </w:tblGrid>
        </w:tblGridChange>
      </w:tblGrid>
      <w:tr>
        <w:tc>
          <w:tcPr/>
          <w:p w:rsidR="00000000" w:rsidDel="00000000" w:rsidP="00000000" w:rsidRDefault="00000000" w:rsidRPr="00000000">
            <w:pPr>
              <w:spacing w:after="0" w:line="360" w:lineRule="auto"/>
              <w:ind w:firstLine="0"/>
              <w:contextualSpacing w:val="0"/>
              <w:jc w:val="center"/>
              <w:rPr/>
            </w:pPr>
            <w:r w:rsidDel="00000000" w:rsidR="00000000" w:rsidRPr="00000000">
              <w:rPr>
                <w:rtl w:val="0"/>
              </w:rPr>
              <w:t xml:space="preserve">Figure Number</w:t>
            </w:r>
          </w:p>
        </w:tc>
        <w:tc>
          <w:tcPr/>
          <w:p w:rsidR="00000000" w:rsidDel="00000000" w:rsidP="00000000" w:rsidRDefault="00000000" w:rsidRPr="00000000">
            <w:pPr>
              <w:spacing w:after="0" w:line="360" w:lineRule="auto"/>
              <w:ind w:firstLine="0"/>
              <w:contextualSpacing w:val="0"/>
              <w:jc w:val="center"/>
              <w:rPr/>
            </w:pPr>
            <w:r w:rsidDel="00000000" w:rsidR="00000000" w:rsidRPr="00000000">
              <w:rPr>
                <w:rtl w:val="0"/>
              </w:rPr>
              <w:t xml:space="preserve">Root mean square error (RMSE)</w:t>
            </w:r>
          </w:p>
        </w:tc>
      </w:tr>
      <w:tr>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Figure 2b </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benzene</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toluene</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ethylbenzene</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o-xylene</w:t>
            </w:r>
          </w:p>
          <w:p w:rsidR="00000000" w:rsidDel="00000000" w:rsidP="00000000" w:rsidRDefault="00000000" w:rsidRPr="00000000">
            <w:pPr>
              <w:spacing w:after="0" w:line="360" w:lineRule="auto"/>
              <w:ind w:firstLine="0"/>
              <w:contextualSpacing w:val="0"/>
              <w:rPr/>
            </w:pPr>
            <w:r w:rsidDel="00000000" w:rsidR="00000000" w:rsidRPr="00000000">
              <w:rPr>
                <w:rtl w:val="0"/>
              </w:rPr>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Figure 3c (sampling rate, ml/s)</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 </w:t>
            </w:r>
          </w:p>
        </w:tc>
        <w:tc>
          <w:tcPr/>
          <w:p w:rsidR="00000000" w:rsidDel="00000000" w:rsidP="00000000" w:rsidRDefault="00000000" w:rsidRPr="00000000">
            <w:pPr>
              <w:spacing w:after="0" w:line="360" w:lineRule="auto"/>
              <w:ind w:firstLine="0"/>
              <w:contextualSpacing w:val="0"/>
              <w:jc w:val="center"/>
              <w:rPr/>
            </w:pPr>
            <w:r w:rsidDel="00000000" w:rsidR="00000000" w:rsidRPr="00000000">
              <w:rPr>
                <w:rtl w:val="0"/>
              </w:rPr>
            </w:r>
          </w:p>
          <w:p w:rsidR="00000000" w:rsidDel="00000000" w:rsidP="00000000" w:rsidRDefault="00000000" w:rsidRPr="00000000">
            <w:pPr>
              <w:spacing w:after="0" w:line="360" w:lineRule="auto"/>
              <w:ind w:firstLine="0"/>
              <w:contextualSpacing w:val="0"/>
              <w:jc w:val="center"/>
              <w:rPr>
                <w:vertAlign w:val="superscript"/>
              </w:rPr>
            </w:pPr>
            <w:r w:rsidDel="00000000" w:rsidR="00000000" w:rsidRPr="00000000">
              <w:rPr>
                <w:rtl w:val="0"/>
              </w:rPr>
              <w:t xml:space="preserve">3.3×10</w:t>
            </w:r>
            <w:r w:rsidDel="00000000" w:rsidR="00000000" w:rsidRPr="00000000">
              <w:rPr>
                <w:vertAlign w:val="superscript"/>
                <w:rtl w:val="0"/>
              </w:rPr>
              <w:t xml:space="preserve">‒3</w:t>
            </w:r>
          </w:p>
          <w:p w:rsidR="00000000" w:rsidDel="00000000" w:rsidP="00000000" w:rsidRDefault="00000000" w:rsidRPr="00000000">
            <w:pPr>
              <w:spacing w:after="0" w:line="360" w:lineRule="auto"/>
              <w:ind w:firstLine="0"/>
              <w:contextualSpacing w:val="0"/>
              <w:jc w:val="center"/>
              <w:rPr>
                <w:vertAlign w:val="superscript"/>
              </w:rPr>
            </w:pPr>
            <w:r w:rsidDel="00000000" w:rsidR="00000000" w:rsidRPr="00000000">
              <w:rPr>
                <w:rtl w:val="0"/>
              </w:rPr>
              <w:t xml:space="preserve">2.7×10</w:t>
            </w:r>
            <w:r w:rsidDel="00000000" w:rsidR="00000000" w:rsidRPr="00000000">
              <w:rPr>
                <w:vertAlign w:val="superscript"/>
                <w:rtl w:val="0"/>
              </w:rPr>
              <w:t xml:space="preserve">‒3</w:t>
            </w:r>
          </w:p>
          <w:p w:rsidR="00000000" w:rsidDel="00000000" w:rsidP="00000000" w:rsidRDefault="00000000" w:rsidRPr="00000000">
            <w:pPr>
              <w:spacing w:after="0" w:line="360" w:lineRule="auto"/>
              <w:ind w:firstLine="0"/>
              <w:contextualSpacing w:val="0"/>
              <w:jc w:val="center"/>
              <w:rPr>
                <w:vertAlign w:val="superscript"/>
              </w:rPr>
            </w:pPr>
            <w:r w:rsidDel="00000000" w:rsidR="00000000" w:rsidRPr="00000000">
              <w:rPr>
                <w:rtl w:val="0"/>
              </w:rPr>
              <w:t xml:space="preserve">4.5×10</w:t>
            </w:r>
            <w:r w:rsidDel="00000000" w:rsidR="00000000" w:rsidRPr="00000000">
              <w:rPr>
                <w:vertAlign w:val="superscript"/>
                <w:rtl w:val="0"/>
              </w:rPr>
              <w:t xml:space="preserve">‒3</w:t>
            </w:r>
          </w:p>
          <w:p w:rsidR="00000000" w:rsidDel="00000000" w:rsidP="00000000" w:rsidRDefault="00000000" w:rsidRPr="00000000">
            <w:pPr>
              <w:spacing w:after="0" w:line="360" w:lineRule="auto"/>
              <w:ind w:firstLine="0"/>
              <w:contextualSpacing w:val="0"/>
              <w:jc w:val="center"/>
              <w:rPr>
                <w:vertAlign w:val="superscript"/>
              </w:rPr>
            </w:pPr>
            <w:r w:rsidDel="00000000" w:rsidR="00000000" w:rsidRPr="00000000">
              <w:rPr>
                <w:rtl w:val="0"/>
              </w:rPr>
              <w:t xml:space="preserve">3.5×10</w:t>
            </w:r>
            <w:r w:rsidDel="00000000" w:rsidR="00000000" w:rsidRPr="00000000">
              <w:rPr>
                <w:vertAlign w:val="superscript"/>
                <w:rtl w:val="0"/>
              </w:rPr>
              <w:t xml:space="preserve">‒3</w:t>
            </w:r>
          </w:p>
          <w:p w:rsidR="00000000" w:rsidDel="00000000" w:rsidP="00000000" w:rsidRDefault="00000000" w:rsidRPr="00000000">
            <w:pPr>
              <w:spacing w:after="0" w:line="360" w:lineRule="auto"/>
              <w:ind w:firstLine="0"/>
              <w:contextualSpacing w:val="0"/>
              <w:jc w:val="center"/>
              <w:rPr/>
            </w:pPr>
            <w:r w:rsidDel="00000000" w:rsidR="00000000" w:rsidRPr="00000000">
              <w:rPr>
                <w:rtl w:val="0"/>
              </w:rPr>
            </w:r>
          </w:p>
          <w:p w:rsidR="00000000" w:rsidDel="00000000" w:rsidP="00000000" w:rsidRDefault="00000000" w:rsidRPr="00000000">
            <w:pPr>
              <w:spacing w:after="0" w:line="360" w:lineRule="auto"/>
              <w:ind w:firstLine="0"/>
              <w:contextualSpacing w:val="0"/>
              <w:jc w:val="center"/>
              <w:rPr/>
            </w:pPr>
            <w:r w:rsidDel="00000000" w:rsidR="00000000" w:rsidRPr="00000000">
              <w:rPr>
                <w:rtl w:val="0"/>
              </w:rPr>
              <w:t xml:space="preserve">2.6×10</w:t>
            </w:r>
            <w:r w:rsidDel="00000000" w:rsidR="00000000" w:rsidRPr="00000000">
              <w:rPr>
                <w:vertAlign w:val="superscript"/>
                <w:rtl w:val="0"/>
              </w:rPr>
              <w:t xml:space="preserve">‒4</w:t>
            </w:r>
            <w:r w:rsidDel="00000000" w:rsidR="00000000" w:rsidRPr="00000000">
              <w:rPr>
                <w:rtl w:val="0"/>
              </w:rPr>
            </w:r>
          </w:p>
        </w:tc>
      </w:tr>
      <w:tr>
        <w:tc>
          <w:tcPr/>
          <w:p w:rsidR="00000000" w:rsidDel="00000000" w:rsidP="00000000" w:rsidRDefault="00000000" w:rsidRPr="00000000">
            <w:pPr>
              <w:spacing w:after="0" w:line="360" w:lineRule="auto"/>
              <w:ind w:firstLine="0"/>
              <w:contextualSpacing w:val="0"/>
              <w:rPr/>
            </w:pPr>
            <w:r w:rsidDel="00000000" w:rsidR="00000000" w:rsidRPr="00000000">
              <w:rPr>
                <w:rtl w:val="0"/>
              </w:rPr>
              <w:t xml:space="preserve">Figure 8 (Chen model)</w:t>
            </w:r>
          </w:p>
          <w:p w:rsidR="00000000" w:rsidDel="00000000" w:rsidP="00000000" w:rsidRDefault="00000000" w:rsidRPr="00000000">
            <w:pPr>
              <w:spacing w:after="0" w:line="360" w:lineRule="auto"/>
              <w:ind w:firstLine="0"/>
              <w:contextualSpacing w:val="0"/>
              <w:rPr/>
            </w:pPr>
            <w:r w:rsidDel="00000000" w:rsidR="00000000" w:rsidRPr="00000000">
              <w:rPr>
                <w:rtl w:val="0"/>
              </w:rPr>
              <w:t xml:space="preserve">Figure 8 (Numerical model)</w:t>
            </w:r>
          </w:p>
        </w:tc>
        <w:tc>
          <w:tcPr/>
          <w:p w:rsidR="00000000" w:rsidDel="00000000" w:rsidP="00000000" w:rsidRDefault="00000000" w:rsidRPr="00000000">
            <w:pPr>
              <w:spacing w:after="0" w:line="360" w:lineRule="auto"/>
              <w:ind w:firstLine="0"/>
              <w:contextualSpacing w:val="0"/>
              <w:jc w:val="center"/>
              <w:rPr/>
            </w:pPr>
            <w:r w:rsidDel="00000000" w:rsidR="00000000" w:rsidRPr="00000000">
              <w:rPr>
                <w:rtl w:val="0"/>
              </w:rPr>
              <w:t xml:space="preserve">1.27</w:t>
            </w:r>
          </w:p>
          <w:p w:rsidR="00000000" w:rsidDel="00000000" w:rsidP="00000000" w:rsidRDefault="00000000" w:rsidRPr="00000000">
            <w:pPr>
              <w:spacing w:after="0" w:line="360" w:lineRule="auto"/>
              <w:ind w:firstLine="0"/>
              <w:contextualSpacing w:val="0"/>
              <w:jc w:val="center"/>
              <w:rPr/>
            </w:pPr>
            <w:r w:rsidDel="00000000" w:rsidR="00000000" w:rsidRPr="00000000">
              <w:rPr>
                <w:rtl w:val="0"/>
              </w:rPr>
              <w:t xml:space="preserve">0.92</w:t>
            </w:r>
          </w:p>
        </w:tc>
      </w:tr>
    </w:tbl>
    <w:p w:rsidR="00000000" w:rsidDel="00000000" w:rsidP="00000000" w:rsidRDefault="00000000" w:rsidRPr="00000000">
      <w:pPr>
        <w:contextualSpacing w:val="0"/>
        <w:jc w:val="center"/>
        <w:rPr>
          <w:rFonts w:ascii="Cambria Math" w:cs="Cambria Math" w:eastAsia="Cambria Math" w:hAnsi="Cambria Math"/>
        </w:rPr>
      </w:pPr>
      <m:oMathPara>
        <m:oMathParaPr>
          <m:jc m:val="left"/>
        </m:oMathParaPr>
        <m:oMath>
          <m:r>
            <w:rPr>
              <w:rFonts w:ascii="Cambria Math" w:cs="Cambria Math" w:eastAsia="Cambria Math" w:hAnsi="Cambria Math"/>
            </w:rPr>
            <m:t xml:space="preserve">RMSE=</m:t>
          </m:r>
          <m:rad>
            <m:radPr>
              <m:degHide m:val="1"/>
              <m:ctrlPr>
                <w:rPr>
                  <w:rFonts w:ascii="Cambria Math" w:cs="Cambria Math" w:eastAsia="Cambria Math" w:hAnsi="Cambria Math"/>
                </w:rPr>
              </m:ctrlPr>
            </m:radPr>
            <m:e>
              <m:f>
                <m:fPr>
                  <m:ctrlPr>
                    <w:rPr>
                      <w:rFonts w:ascii="Cambria Math" w:cs="Cambria Math" w:eastAsia="Cambria Math" w:hAnsi="Cambria Math"/>
                    </w:rPr>
                  </m:ctrlPr>
                </m:fPr>
                <m:num>
                  <m:nary>
                    <m:naryPr>
                      <m:chr m:val="∑"/>
                      <m:ctrlPr>
                        <w:rPr>
                          <w:rFonts w:ascii="Cambria Math" w:cs="Cambria Math" w:eastAsia="Cambria Math" w:hAnsi="Cambria Math"/>
                        </w:rPr>
                      </m:ctrlPr>
                    </m:naryPr>
                    <m:sub/>
                    <m:sup/>
                  </m:nary>
                  <m:sSup>
                    <m:sSupPr>
                      <m:ctrlPr>
                        <w:rPr>
                          <w:rFonts w:ascii="Cambria Math" w:cs="Cambria Math" w:eastAsia="Cambria Math" w:hAnsi="Cambria Math"/>
                        </w:rPr>
                      </m:ctrlPr>
                    </m:sSupPr>
                    <m:e>
                      <m:sSub>
                        <m:sSubPr>
                          <m:ctrlPr>
                            <w:rPr/>
                          </m:ctrlPr>
                        </m:sSubPr>
                        <m:e>
                          <m:r>
                            <w:rPr>
                              <w:rFonts w:ascii="Cambria Math" w:cs="Cambria Math" w:eastAsia="Cambria Math" w:hAnsi="Cambria Math"/>
                            </w:rPr>
                            <m:t xml:space="preserve">(n</m:t>
                          </m:r>
                        </m:e>
                        <m:sub>
                          <m:r>
                            <w:rPr>
                              <w:rFonts w:ascii="Cambria Math" w:cs="Cambria Math" w:eastAsia="Cambria Math" w:hAnsi="Cambria Math"/>
                            </w:rPr>
                            <m:t xml:space="preserve"> </m:t>
                          </m:r>
                          <m:r>
                            <w:rPr/>
                            <m:t xml:space="preserve">(</m:t>
                          </m:r>
                          <m:r>
                            <w:rPr>
                              <w:rFonts w:ascii="Cambria Math" w:cs="Cambria Math" w:eastAsia="Cambria Math" w:hAnsi="Cambria Math"/>
                            </w:rPr>
                            <m:t xml:space="preserve">numericla solution</m:t>
                          </m:r>
                          <m:r>
                            <w:rPr/>
                            <m:t xml:space="preserve">)</m:t>
                          </m:r>
                        </m:sub>
                      </m:sSub>
                      <m:r>
                        <w:rPr>
                          <w:rFonts w:ascii="Cambria Math" w:cs="Cambria Math" w:eastAsia="Cambria Math" w:hAnsi="Cambria Math"/>
                        </w:rPr>
                        <m:t xml:space="preserve">-</m:t>
                      </m:r>
                      <m:sSub>
                        <m:sSubPr>
                          <m:ctrlPr>
                            <w:rPr/>
                          </m:ctrlPr>
                        </m:sSubPr>
                        <m:e>
                          <m:r>
                            <w:rPr>
                              <w:rFonts w:ascii="Cambria Math" w:cs="Cambria Math" w:eastAsia="Cambria Math" w:hAnsi="Cambria Math"/>
                            </w:rPr>
                            <m:t xml:space="preserve">n</m:t>
                          </m:r>
                        </m:e>
                        <m:sub>
                          <m:r>
                            <w:rPr>
                              <w:rFonts w:ascii="Cambria Math" w:cs="Cambria Math" w:eastAsia="Cambria Math" w:hAnsi="Cambria Math"/>
                            </w:rPr>
                            <m:t xml:space="preserve"> </m:t>
                          </m:r>
                          <m:r>
                            <w:rPr/>
                            <m:t xml:space="preserve">(</m:t>
                          </m:r>
                          <m:r>
                            <w:rPr>
                              <w:rFonts w:ascii="Cambria Math" w:cs="Cambria Math" w:eastAsia="Cambria Math" w:hAnsi="Cambria Math"/>
                            </w:rPr>
                            <m:t xml:space="preserve">experimental data</m:t>
                          </m:r>
                          <m:r>
                            <w:rPr/>
                            <m:t xml:space="preserve">)</m:t>
                          </m:r>
                        </m:sub>
                      </m:sSub>
                      <m:r>
                        <w:rPr>
                          <w:rFonts w:ascii="Cambria Math" w:cs="Cambria Math" w:eastAsia="Cambria Math" w:hAnsi="Cambria Math"/>
                        </w:rPr>
                        <m:t xml:space="preserve">)</m:t>
                      </m:r>
                    </m:e>
                    <m:sup>
                      <m:r>
                        <w:rPr>
                          <w:rFonts w:ascii="Cambria Math" w:cs="Cambria Math" w:eastAsia="Cambria Math" w:hAnsi="Cambria Math"/>
                        </w:rPr>
                        <m:t xml:space="preserve">2</m:t>
                      </m:r>
                    </m:sup>
                  </m:sSup>
                </m:num>
                <m:den>
                  <m:r>
                    <w:rPr>
                      <w:rFonts w:ascii="Cambria Math" w:cs="Cambria Math" w:eastAsia="Cambria Math" w:hAnsi="Cambria Math"/>
                    </w:rPr>
                    <m:t xml:space="preserve">number of data points</m:t>
                  </m:r>
                </m:den>
              </m:f>
            </m:e>
          </m:rad>
        </m:oMath>
      </m:oMathPara>
      <w:r w:rsidDel="00000000" w:rsidR="00000000" w:rsidRPr="00000000">
        <w:rPr>
          <w:rtl w:val="0"/>
        </w:rPr>
      </w:r>
    </w:p>
    <w:sectPr>
      <w:footerReference r:id="rId19"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Calibri"/>
  <w:font w:name="Georgia"/>
  <w:font w:name="Cambria Mat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708" w:before="0" w:line="240" w:lineRule="auto"/>
      <w:ind w:left="0" w:right="0" w:firstLine="72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CA"/>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720"/>
        <w:contextualSpacing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20" w:lineRule="auto"/>
      <w:ind w:left="0" w:firstLine="0"/>
      <w:contextualSpacing w:val="0"/>
      <w:jc w:val="center"/>
    </w:pPr>
    <w:rPr>
      <w:b w:val="1"/>
      <w:color w:val="000000"/>
    </w:rPr>
  </w:style>
  <w:style w:type="paragraph" w:styleId="Heading2">
    <w:name w:val="heading 2"/>
    <w:basedOn w:val="Normal"/>
    <w:next w:val="Normal"/>
    <w:pPr>
      <w:keepNext w:val="1"/>
      <w:keepLines w:val="1"/>
      <w:spacing w:before="120" w:lineRule="auto"/>
      <w:ind w:left="0" w:firstLine="0"/>
      <w:contextualSpacing w:val="0"/>
      <w:jc w:val="center"/>
    </w:pPr>
    <w:rPr>
      <w:b w:val="1"/>
      <w:color w:val="000000"/>
    </w:rPr>
  </w:style>
  <w:style w:type="paragraph" w:styleId="Heading3">
    <w:name w:val="heading 3"/>
    <w:basedOn w:val="Normal"/>
    <w:next w:val="Normal"/>
    <w:pPr>
      <w:keepNext w:val="1"/>
      <w:keepLines w:val="1"/>
      <w:spacing w:before="240" w:lineRule="auto"/>
      <w:ind w:left="0" w:firstLine="0"/>
      <w:contextualSpacing w:val="0"/>
    </w:pPr>
    <w:rPr>
      <w:b w:val="1"/>
    </w:rPr>
  </w:style>
  <w:style w:type="paragraph" w:styleId="Heading4">
    <w:name w:val="heading 4"/>
    <w:basedOn w:val="Normal"/>
    <w:next w:val="Normal"/>
    <w:pPr>
      <w:keepNext w:val="1"/>
      <w:keepLines w:val="1"/>
      <w:spacing w:after="0" w:before="40" w:lineRule="auto"/>
      <w:ind w:left="0" w:firstLine="0"/>
      <w:contextualSpacing w:val="0"/>
    </w:pPr>
    <w:rPr>
      <w:b w:val="1"/>
      <w:i w:val="1"/>
    </w:rPr>
  </w:style>
  <w:style w:type="paragraph" w:styleId="Heading5">
    <w:name w:val="heading 5"/>
    <w:basedOn w:val="Normal"/>
    <w:next w:val="Normal"/>
    <w:pPr>
      <w:keepNext w:val="1"/>
      <w:keepLines w:val="1"/>
      <w:spacing w:after="0" w:before="40" w:lineRule="auto"/>
      <w:ind w:left="0" w:firstLine="0"/>
      <w:contextualSpacing w:val="0"/>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ind w:left="0" w:firstLine="0"/>
      <w:contextualSpacing w:val="0"/>
    </w:pPr>
    <w:rPr>
      <w:rFonts w:ascii="Calibri" w:cs="Calibri" w:eastAsia="Calibri" w:hAnsi="Calibri"/>
      <w:color w:val="1e4d78"/>
    </w:rPr>
  </w:style>
  <w:style w:type="paragraph" w:styleId="Title">
    <w:name w:val="Title"/>
    <w:basedOn w:val="Normal"/>
    <w:next w:val="Normal"/>
    <w:pPr>
      <w:spacing w:after="0" w:before="120" w:lineRule="auto"/>
      <w:ind w:firstLine="432"/>
      <w:contextualSpacing w:val="1"/>
      <w:jc w:val="center"/>
    </w:pPr>
    <w:rPr>
      <w:b w:val="1"/>
      <w:color w:val="000000"/>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4.png"/><Relationship Id="rId10" Type="http://schemas.openxmlformats.org/officeDocument/2006/relationships/image" Target="media/image28.png"/><Relationship Id="rId13" Type="http://schemas.openxmlformats.org/officeDocument/2006/relationships/image" Target="media/image24.png"/><Relationship Id="rId12" Type="http://schemas.openxmlformats.org/officeDocument/2006/relationships/image" Target="media/image18.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20.png"/><Relationship Id="rId15" Type="http://schemas.openxmlformats.org/officeDocument/2006/relationships/image" Target="media/image8.png"/><Relationship Id="rId14" Type="http://schemas.openxmlformats.org/officeDocument/2006/relationships/image" Target="media/image5.png"/><Relationship Id="rId17" Type="http://schemas.openxmlformats.org/officeDocument/2006/relationships/image" Target="media/image16.png"/><Relationship Id="rId16" Type="http://schemas.openxmlformats.org/officeDocument/2006/relationships/image" Target="media/image22.png"/><Relationship Id="rId5" Type="http://schemas.openxmlformats.org/officeDocument/2006/relationships/image" Target="media/image4.png"/><Relationship Id="rId19" Type="http://schemas.openxmlformats.org/officeDocument/2006/relationships/footer" Target="footer1.xml"/><Relationship Id="rId6" Type="http://schemas.openxmlformats.org/officeDocument/2006/relationships/image" Target="media/image7.png"/><Relationship Id="rId18" Type="http://schemas.openxmlformats.org/officeDocument/2006/relationships/image" Target="media/image26.png"/><Relationship Id="rId7" Type="http://schemas.openxmlformats.org/officeDocument/2006/relationships/image" Target="media/image10.png"/><Relationship Id="rId8" Type="http://schemas.openxmlformats.org/officeDocument/2006/relationships/image" Target="media/image12.png"/></Relationships>
</file>