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tabs>
          <w:tab w:val="left" w:pos="4207"/>
        </w:tabs>
        <w:contextualSpacing w:val="0"/>
        <w:jc w:val="center"/>
        <w:rPr>
          <w:rFonts w:ascii="Calibri" w:cs="Calibri" w:eastAsia="Calibri" w:hAnsi="Calibri"/>
          <w:b w:val="1"/>
          <w:sz w:val="36"/>
          <w:szCs w:val="36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rtl w:val="0"/>
        </w:rPr>
        <w:t xml:space="preserve">Supporting Information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400" w:line="240" w:lineRule="auto"/>
        <w:ind w:left="0" w:right="0" w:firstLine="0"/>
        <w:contextualSpacing w:val="0"/>
        <w:jc w:val="left"/>
        <w:rPr>
          <w:rFonts w:ascii="Open Sans Light" w:cs="Open Sans Light" w:eastAsia="Open Sans Light" w:hAnsi="Open Sans Light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 Light" w:cs="Open Sans Light" w:eastAsia="Open Sans Light" w:hAnsi="Open Sans Light"/>
          <w:b w:val="1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Insights into the Effect of the PDMS-layer on the Kinetics and Thermodynamics of Analyte Sorption onto the Matrix-Compatible SPME Coating 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40" w:lineRule="auto"/>
        <w:ind w:left="0" w:right="0" w:firstLine="0"/>
        <w:contextualSpacing w:val="0"/>
        <w:jc w:val="left"/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Érica A. Souza-Silva†</w:t>
      </w: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Emanuela Gionfriddo</w:t>
      </w: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Md. Nazmul Alam</w:t>
      </w: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Janusz Pawliszyn</w:t>
      </w: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*.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contextualSpacing w:val="0"/>
        <w:jc w:val="left"/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† Current Address: Universidade Federal do Rio Grande do Sul, 91501-970 Porto Alegre, Rio Grande do Sul, Brazil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contextualSpacing w:val="0"/>
        <w:jc w:val="left"/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1 </w:t>
      </w: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Department of Chemistry, University of Waterloo, Waterloo, Ontario, Canada.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contextualSpacing w:val="0"/>
        <w:jc w:val="left"/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Corresponding author’s name: Janusz Pawliszyn 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contextualSpacing w:val="0"/>
        <w:jc w:val="left"/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Corresponding author’s phone number: 1-519-888-4567 ext. 84641</w: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40" w:lineRule="auto"/>
        <w:ind w:left="0" w:right="0" w:firstLine="0"/>
        <w:contextualSpacing w:val="0"/>
        <w:jc w:val="left"/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no Pro" w:cs="Arno Pro" w:eastAsia="Arno Pro" w:hAnsi="Arno Pr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Corresponding author’s e-mail: janusz@sciborg.uwaterloo.ca</w:t>
      </w:r>
    </w:p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line="360" w:lineRule="auto"/>
        <w:ind w:firstLine="0"/>
        <w:contextualSpacing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Content:</w:t>
      </w:r>
    </w:p>
    <w:p w:rsidR="00000000" w:rsidDel="00000000" w:rsidP="00000000" w:rsidRDefault="00000000" w:rsidRPr="00000000">
      <w:pPr>
        <w:spacing w:before="240" w:line="240" w:lineRule="auto"/>
        <w:ind w:firstLine="0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Table S1 - Model analytes in standard mixture for coating evaluation………………………………………S-3</w:t>
      </w:r>
    </w:p>
    <w:p w:rsidR="00000000" w:rsidDel="00000000" w:rsidP="00000000" w:rsidRDefault="00000000" w:rsidRPr="00000000">
      <w:pPr>
        <w:spacing w:before="240" w:line="240" w:lineRule="auto"/>
        <w:ind w:firstLine="0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Figure S1 - Structures of model analytes employed in the current coating evaluation………………S-4</w:t>
      </w:r>
    </w:p>
    <w:p w:rsidR="00000000" w:rsidDel="00000000" w:rsidP="00000000" w:rsidRDefault="00000000" w:rsidRPr="00000000">
      <w:pPr>
        <w:spacing w:before="240" w:line="240" w:lineRule="auto"/>
        <w:ind w:firstLine="0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Figure S2 - Representative chromatograms of analytes from standard mixture extracted from water using commercial PDMS/DVB fiber (A), and PDMS-overcoated (B)………………………………….S-5</w:t>
      </w:r>
    </w:p>
    <w:p w:rsidR="00000000" w:rsidDel="00000000" w:rsidP="00000000" w:rsidRDefault="00000000" w:rsidRPr="00000000">
      <w:pPr>
        <w:spacing w:before="240" w:line="240" w:lineRule="auto"/>
        <w:ind w:firstLine="0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Table S2 - Calculated values of diffusion in water (Dw) at 30 ºC………………………………………………..S-6</w:t>
      </w:r>
    </w:p>
    <w:p w:rsidR="00000000" w:rsidDel="00000000" w:rsidP="00000000" w:rsidRDefault="00000000" w:rsidRPr="00000000">
      <w:pPr>
        <w:spacing w:before="240" w:line="240" w:lineRule="auto"/>
        <w:ind w:firstLine="0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Table S3 - Calculated values of aqueous boundary layer thicknesses (in µm) for different sample agitation speed (in rpm)……………………………………………………………………………………………………………S-7</w:t>
      </w:r>
    </w:p>
    <w:p w:rsidR="00000000" w:rsidDel="00000000" w:rsidP="00000000" w:rsidRDefault="00000000" w:rsidRPr="00000000">
      <w:pPr>
        <w:spacing w:before="240" w:line="240" w:lineRule="auto"/>
        <w:ind w:firstLine="0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Figure S3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- Mass uptake profiles of most polar target analytes obtained from aqueous solutions at 30 ºC………………………………………………………………………………………………………………………………………S-8/9</w:t>
      </w:r>
    </w:p>
    <w:p w:rsidR="00000000" w:rsidDel="00000000" w:rsidP="00000000" w:rsidRDefault="00000000" w:rsidRPr="00000000">
      <w:pPr>
        <w:spacing w:before="240" w:line="240" w:lineRule="auto"/>
        <w:ind w:firstLine="0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Figure S4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- Schematic representation of the model domains used in the Comsol modeling and simulations……………………………………………………………………………………………………………………………..S-10 </w:t>
      </w:r>
    </w:p>
    <w:p w:rsidR="00000000" w:rsidDel="00000000" w:rsidP="00000000" w:rsidRDefault="00000000" w:rsidRPr="00000000">
      <w:pPr>
        <w:spacing w:before="240" w:line="240" w:lineRule="auto"/>
        <w:ind w:firstLine="0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Table S4 - Parameters used in the modeling and simulations…………………………………………….…..S-11</w:t>
      </w:r>
    </w:p>
    <w:p w:rsidR="00000000" w:rsidDel="00000000" w:rsidP="00000000" w:rsidRDefault="00000000" w:rsidRPr="00000000">
      <w:pPr>
        <w:spacing w:before="240" w:line="240" w:lineRule="auto"/>
        <w:ind w:firstLine="0"/>
        <w:contextualSpacing w:val="0"/>
        <w:rPr>
          <w:rFonts w:ascii="Calibri" w:cs="Calibri" w:eastAsia="Calibri" w:hAnsi="Calibri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Calibri" w:cs="Calibri" w:eastAsia="Calibri" w:hAnsi="Calibri"/>
          <w:sz w:val="24"/>
          <w:szCs w:val="24"/>
          <w:highlight w:val="yellow"/>
          <w:rtl w:val="0"/>
        </w:rPr>
        <w:t xml:space="preserve">Figure S5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– Concentration profile from the coating inner surface to the bulk of the solution. Infinite volume of sample was considered for the simulation. a) Concentration profile for a polar analyte, 1, 3-dinitrobenzene; b) concentration profile for a non-polar analyte, pendimethalin. Parameters used in the simulation is shown in Table S4 …………………………………………………………………………….S-12</w:t>
      </w:r>
    </w:p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i w:val="1"/>
          <w:sz w:val="24"/>
          <w:szCs w:val="24"/>
        </w:rPr>
      </w:pPr>
      <w:bookmarkStart w:colFirst="0" w:colLast="0" w:name="_1fob9te" w:id="2"/>
      <w:bookmarkEnd w:id="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720"/>
        <w:contextualSpacing w:val="0"/>
        <w:jc w:val="both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Table S1 - Model analytes in standard mixture for coating evaluation.</w:t>
      </w:r>
    </w:p>
    <w:tbl>
      <w:tblPr>
        <w:tblStyle w:val="Table1"/>
        <w:tblW w:w="7650.0" w:type="dxa"/>
        <w:jc w:val="center"/>
        <w:tblBorders>
          <w:top w:color="8eaadb" w:space="0" w:sz="4" w:val="single"/>
          <w:bottom w:color="8eaadb" w:space="0" w:sz="4" w:val="single"/>
          <w:insideH w:color="8eaadb" w:space="0" w:sz="4" w:val="single"/>
        </w:tblBorders>
        <w:tblLayout w:type="fixed"/>
        <w:tblLook w:val="0200"/>
      </w:tblPr>
      <w:tblGrid>
        <w:gridCol w:w="2122"/>
        <w:gridCol w:w="1275"/>
        <w:gridCol w:w="1418"/>
        <w:gridCol w:w="1134"/>
        <w:gridCol w:w="1701"/>
        <w:tblGridChange w:id="0">
          <w:tblGrid>
            <w:gridCol w:w="2122"/>
            <w:gridCol w:w="1275"/>
            <w:gridCol w:w="1418"/>
            <w:gridCol w:w="1134"/>
            <w:gridCol w:w="1701"/>
          </w:tblGrid>
        </w:tblGridChange>
      </w:tblGrid>
      <w:tr>
        <w:trPr>
          <w:trHeight w:val="30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Working Mixture</w:t>
            </w:r>
          </w:p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( µg/mL)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Log P </w:t>
            </w:r>
          </w:p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(pH 7)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MW (g/mole)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Quant. Ion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m/z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)</w:t>
            </w:r>
          </w:p>
        </w:tc>
      </w:tr>
      <w:tr>
        <w:trPr>
          <w:trHeight w:val="30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Nitrobenzene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50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1.90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123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77</w:t>
            </w:r>
          </w:p>
        </w:tc>
      </w:tr>
      <w:tr>
        <w:trPr>
          <w:trHeight w:val="30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1,3-Dinitrobenzene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150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1.43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168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168</w:t>
            </w:r>
          </w:p>
        </w:tc>
      </w:tr>
      <w:tr>
        <w:trPr>
          <w:trHeight w:val="30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2,6-Dinitrotoluene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75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2.42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182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165</w:t>
            </w:r>
          </w:p>
        </w:tc>
      </w:tr>
      <w:tr>
        <w:trPr>
          <w:trHeight w:val="30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Trifluralin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5.07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325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306</w:t>
            </w:r>
          </w:p>
        </w:tc>
      </w:tr>
      <w:tr>
        <w:trPr>
          <w:trHeight w:val="30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4-Phenylphenol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20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3.20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170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170</w:t>
            </w:r>
          </w:p>
        </w:tc>
      </w:tr>
      <w:tr>
        <w:trPr>
          <w:trHeight w:val="30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Diazinon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7.5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3.40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304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304</w:t>
            </w:r>
          </w:p>
        </w:tc>
      </w:tr>
      <w:tr>
        <w:trPr>
          <w:trHeight w:val="32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Chlorothalonil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2.94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266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266</w:t>
            </w:r>
          </w:p>
        </w:tc>
      </w:tr>
      <w:tr>
        <w:trPr>
          <w:trHeight w:val="30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Parathion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3.83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291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291</w:t>
            </w:r>
          </w:p>
        </w:tc>
      </w:tr>
      <w:tr>
        <w:trPr>
          <w:trHeight w:val="30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Pendimethalin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5.18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281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252</w:t>
            </w:r>
          </w:p>
        </w:tc>
      </w:tr>
      <w:tr>
        <w:trPr>
          <w:trHeight w:val="30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p,p'-DDE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2.5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6.00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318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318</w:t>
            </w:r>
          </w:p>
        </w:tc>
      </w:tr>
      <w:tr>
        <w:trPr>
          <w:trHeight w:val="34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Diazepam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100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2.80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284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256</w:t>
            </w:r>
          </w:p>
        </w:tc>
      </w:tr>
    </w:tbl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i w:val="1"/>
          <w:color w:val="44546a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color w:val="44546a"/>
          <w:sz w:val="24"/>
          <w:szCs w:val="24"/>
        </w:rPr>
        <w:drawing>
          <wp:inline distB="0" distT="0" distL="0" distR="0">
            <wp:extent cx="4455160" cy="613029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55160" cy="61302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720"/>
        <w:contextualSpacing w:val="0"/>
        <w:jc w:val="both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3znysh7" w:id="3"/>
      <w:bookmarkEnd w:id="3"/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Figure S1 - Structures of model analytes employed in the current coating evaluation.</w:t>
      </w:r>
    </w:p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ind w:firstLine="0"/>
        <w:contextualSpacing w:val="0"/>
        <w:rPr/>
      </w:pPr>
      <w:r w:rsidDel="00000000" w:rsidR="00000000" w:rsidRPr="00000000">
        <w:rPr/>
        <w:drawing>
          <wp:inline distB="0" distT="0" distL="114300" distR="114300">
            <wp:extent cx="5924550" cy="2609850"/>
            <wp:effectExtent b="0" l="0" r="0" t="0"/>
            <wp:docPr id="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2609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419100</wp:posOffset>
                </wp:positionH>
                <wp:positionV relativeFrom="paragraph">
                  <wp:posOffset>457200</wp:posOffset>
                </wp:positionV>
                <wp:extent cx="469900" cy="39370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15412" y="3585193"/>
                          <a:ext cx="461176" cy="3896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48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  <w:t xml:space="preserve">A</w:t>
                            </w:r>
                          </w:p>
                        </w:txbxContent>
                      </wps:txbx>
                      <wps:bodyPr anchorCtr="0" anchor="t" bIns="45700" lIns="91425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419100</wp:posOffset>
                </wp:positionH>
                <wp:positionV relativeFrom="paragraph">
                  <wp:posOffset>457200</wp:posOffset>
                </wp:positionV>
                <wp:extent cx="469900" cy="393700"/>
                <wp:effectExtent b="0" l="0" r="0" t="0"/>
                <wp:wrapNone/>
                <wp:docPr id="12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9900" cy="393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44546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44546a"/>
          <w:sz w:val="18"/>
          <w:szCs w:val="18"/>
          <w:u w:val="none"/>
          <w:shd w:fill="auto" w:val="clear"/>
          <w:vertAlign w:val="baseline"/>
        </w:rPr>
        <w:drawing>
          <wp:inline distB="0" distT="0" distL="114300" distR="114300">
            <wp:extent cx="5962650" cy="2571750"/>
            <wp:effectExtent b="0" l="0" r="0" t="0"/>
            <wp:docPr id="2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2571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44546a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533400</wp:posOffset>
                </wp:positionH>
                <wp:positionV relativeFrom="paragraph">
                  <wp:posOffset>495300</wp:posOffset>
                </wp:positionV>
                <wp:extent cx="419100" cy="36830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39266" y="3597120"/>
                          <a:ext cx="413468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4472c4"/>
                                <w:sz w:val="28"/>
                                <w:vertAlign w:val="baseline"/>
                              </w:rPr>
                              <w:t xml:space="preserve">B</w:t>
                            </w:r>
                          </w:p>
                        </w:txbxContent>
                      </wps:txbx>
                      <wps:bodyPr anchorCtr="0" anchor="t" bIns="45700" lIns="91425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margin">
                  <wp:posOffset>533400</wp:posOffset>
                </wp:positionH>
                <wp:positionV relativeFrom="paragraph">
                  <wp:posOffset>495300</wp:posOffset>
                </wp:positionV>
                <wp:extent cx="419100" cy="368300"/>
                <wp:effectExtent b="0" l="0" r="0" t="0"/>
                <wp:wrapNone/>
                <wp:docPr id="11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9100" cy="368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44546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Figure S2 - Representative chromatogram: analytes from standard mixture extracted from water using commercial PDMS/DVB fiber (A), and PDMS-overcoated (B).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720"/>
        <w:contextualSpacing w:val="0"/>
        <w:jc w:val="both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720"/>
        <w:contextualSpacing w:val="0"/>
        <w:jc w:val="both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Table S2 Calculated values of diffusion in water (D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w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at 30 ºC.</w:t>
      </w:r>
    </w:p>
    <w:tbl>
      <w:tblPr>
        <w:tblStyle w:val="Table2"/>
        <w:tblW w:w="4673.0" w:type="dxa"/>
        <w:jc w:val="left"/>
        <w:tblInd w:w="991.0" w:type="dxa"/>
        <w:tblLayout w:type="fixed"/>
        <w:tblLook w:val="0400"/>
      </w:tblPr>
      <w:tblGrid>
        <w:gridCol w:w="2860"/>
        <w:gridCol w:w="1813"/>
        <w:tblGridChange w:id="0">
          <w:tblGrid>
            <w:gridCol w:w="2860"/>
            <w:gridCol w:w="1813"/>
          </w:tblGrid>
        </w:tblGridChange>
      </w:tblGrid>
      <w:tr>
        <w:trPr>
          <w:trHeight w:val="380" w:hRule="atLeast"/>
        </w:trPr>
        <w:tc>
          <w:tcPr>
            <w:gridSpan w:val="2"/>
            <w:tcBorders>
              <w:bottom w:color="666666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jc w:val="righ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D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vertAlign w:val="subscript"/>
                <w:rtl w:val="0"/>
              </w:rPr>
              <w:t xml:space="preserve">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20" w:hRule="atLeast"/>
        </w:trPr>
        <w:tc>
          <w:tcPr>
            <w:shd w:fill="cccccc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Nitrobenzene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1.01E-05</w:t>
            </w:r>
          </w:p>
        </w:tc>
      </w:tr>
      <w:tr>
        <w:trPr>
          <w:trHeight w:val="32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1,3-Dinitrobenzene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8.99E-06</w:t>
            </w:r>
          </w:p>
        </w:tc>
      </w:tr>
      <w:tr>
        <w:trPr>
          <w:trHeight w:val="320" w:hRule="atLeast"/>
        </w:trPr>
        <w:tc>
          <w:tcPr>
            <w:shd w:fill="cccccc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2,6-Dinitrotoluene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8.29E-06</w:t>
            </w:r>
          </w:p>
        </w:tc>
      </w:tr>
      <w:tr>
        <w:trPr>
          <w:trHeight w:val="32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Trifluralin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5.51E-06</w:t>
            </w:r>
          </w:p>
        </w:tc>
      </w:tr>
      <w:tr>
        <w:trPr>
          <w:trHeight w:val="320" w:hRule="atLeast"/>
        </w:trPr>
        <w:tc>
          <w:tcPr>
            <w:shd w:fill="cccccc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4-Phenylphenol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7.76E-06</w:t>
            </w:r>
          </w:p>
        </w:tc>
      </w:tr>
      <w:tr>
        <w:trPr>
          <w:trHeight w:val="32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Diazinon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5.75E-06</w:t>
            </w:r>
          </w:p>
        </w:tc>
      </w:tr>
      <w:tr>
        <w:trPr>
          <w:trHeight w:val="320" w:hRule="atLeast"/>
        </w:trPr>
        <w:tc>
          <w:tcPr>
            <w:shd w:fill="cccccc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Chlorothalonil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6.92E-06</w:t>
            </w:r>
          </w:p>
        </w:tc>
      </w:tr>
      <w:tr>
        <w:trPr>
          <w:trHeight w:val="32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Parathion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6.38E-06</w:t>
            </w:r>
          </w:p>
        </w:tc>
      </w:tr>
      <w:tr>
        <w:trPr>
          <w:trHeight w:val="320" w:hRule="atLeast"/>
        </w:trPr>
        <w:tc>
          <w:tcPr>
            <w:shd w:fill="cccccc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Pendimethalin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5.77E-06</w:t>
            </w:r>
          </w:p>
        </w:tc>
      </w:tr>
      <w:tr>
        <w:trPr>
          <w:trHeight w:val="32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4,4'-DDE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5.90E-06</w:t>
            </w:r>
          </w:p>
        </w:tc>
      </w:tr>
      <w:tr>
        <w:trPr>
          <w:trHeight w:val="320" w:hRule="atLeast"/>
        </w:trPr>
        <w:tc>
          <w:tcPr>
            <w:shd w:fill="cccccc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Diazepam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5.87E-06</w:t>
            </w:r>
          </w:p>
        </w:tc>
      </w:tr>
    </w:tbl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720"/>
        <w:contextualSpacing w:val="0"/>
        <w:jc w:val="both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1"/>
        <w:spacing w:line="240" w:lineRule="auto"/>
        <w:ind w:left="720" w:firstLine="0"/>
        <w:contextualSpacing w:val="0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i w:val="1"/>
          <w:sz w:val="24"/>
          <w:szCs w:val="24"/>
          <w:rtl w:val="0"/>
        </w:rPr>
        <w:t xml:space="preserve">Table S3 Calculated values of aqueous boundary layer thicknesses (in µm) for different sample agitation speed (in rpm)</w:t>
      </w:r>
    </w:p>
    <w:tbl>
      <w:tblPr>
        <w:tblStyle w:val="Table3"/>
        <w:tblW w:w="8766.0" w:type="dxa"/>
        <w:jc w:val="left"/>
        <w:tblInd w:w="800.0" w:type="dxa"/>
        <w:tblBorders>
          <w:top w:color="7f7f7f" w:space="0" w:sz="4" w:val="single"/>
          <w:bottom w:color="7f7f7f" w:space="0" w:sz="4" w:val="single"/>
        </w:tblBorders>
        <w:tblLayout w:type="fixed"/>
        <w:tblLook w:val="0400"/>
      </w:tblPr>
      <w:tblGrid>
        <w:gridCol w:w="1817"/>
        <w:gridCol w:w="1314"/>
        <w:gridCol w:w="1133"/>
        <w:gridCol w:w="1099"/>
        <w:gridCol w:w="1135"/>
        <w:gridCol w:w="1134"/>
        <w:gridCol w:w="1134"/>
        <w:tblGridChange w:id="0">
          <w:tblGrid>
            <w:gridCol w:w="1817"/>
            <w:gridCol w:w="1314"/>
            <w:gridCol w:w="1133"/>
            <w:gridCol w:w="1099"/>
            <w:gridCol w:w="1135"/>
            <w:gridCol w:w="1134"/>
            <w:gridCol w:w="1134"/>
          </w:tblGrid>
        </w:tblGridChange>
      </w:tblGrid>
      <w:tr>
        <w:trPr>
          <w:trHeight w:val="380" w:hRule="atLeast"/>
        </w:trPr>
        <w:tc>
          <w:tcPr>
            <w:tcBorders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gridSpan w:val="2"/>
            <w:tcBorders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PDMS/DVB</w:t>
            </w:r>
          </w:p>
        </w:tc>
        <w:tc>
          <w:tcPr>
            <w:gridSpan w:val="2"/>
            <w:tcBorders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1 Layer PDMS overcoat</w:t>
            </w:r>
          </w:p>
        </w:tc>
        <w:tc>
          <w:tcPr>
            <w:gridSpan w:val="2"/>
            <w:tcBorders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2 Layers PDMS overcoat</w:t>
            </w:r>
          </w:p>
        </w:tc>
      </w:tr>
      <w:tr>
        <w:trPr>
          <w:trHeight w:val="440" w:hRule="atLeast"/>
        </w:trPr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Symbol" w:cs="Symbol" w:eastAsia="Symbol" w:hAnsi="Symbol"/>
                <w:b w:val="1"/>
                <w:color w:val="1f4e79"/>
                <w:sz w:val="24"/>
                <w:szCs w:val="24"/>
                <w:rtl w:val="0"/>
              </w:rPr>
              <w:t xml:space="preserve">δ</w:t>
            </w:r>
            <w:r w:rsidDel="00000000" w:rsidR="00000000" w:rsidRPr="00000000">
              <w:rPr>
                <w:rFonts w:ascii="Symbol" w:cs="Symbol" w:eastAsia="Symbol" w:hAnsi="Symbol"/>
                <w:b w:val="1"/>
                <w:color w:val="1f4e79"/>
                <w:sz w:val="24"/>
                <w:szCs w:val="24"/>
                <w:vertAlign w:val="subscript"/>
                <w:rtl w:val="0"/>
              </w:rPr>
              <w:t xml:space="preserve">500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  <w:rtl w:val="0"/>
              </w:rPr>
              <w:t xml:space="preserve">rpm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Symbol" w:cs="Symbol" w:eastAsia="Symbol" w:hAnsi="Symbol"/>
                <w:b w:val="1"/>
                <w:color w:val="7030a0"/>
                <w:sz w:val="24"/>
                <w:szCs w:val="24"/>
                <w:rtl w:val="0"/>
              </w:rPr>
              <w:t xml:space="preserve">δ</w:t>
            </w:r>
            <w:r w:rsidDel="00000000" w:rsidR="00000000" w:rsidRPr="00000000">
              <w:rPr>
                <w:rFonts w:ascii="Symbol" w:cs="Symbol" w:eastAsia="Symbol" w:hAnsi="Symbol"/>
                <w:b w:val="1"/>
                <w:color w:val="7030a0"/>
                <w:sz w:val="24"/>
                <w:szCs w:val="24"/>
                <w:vertAlign w:val="subscript"/>
                <w:rtl w:val="0"/>
              </w:rPr>
              <w:t xml:space="preserve">1500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  <w:rtl w:val="0"/>
              </w:rPr>
              <w:t xml:space="preserve">rpm</w:t>
            </w:r>
            <w:r w:rsidDel="00000000" w:rsidR="00000000" w:rsidRPr="00000000">
              <w:rPr>
                <w:rFonts w:ascii="Symbol" w:cs="Symbol" w:eastAsia="Symbol" w:hAnsi="Symbol"/>
                <w:b w:val="1"/>
                <w:color w:val="7030a0"/>
                <w:sz w:val="24"/>
                <w:szCs w:val="24"/>
                <w:vertAlign w:val="sub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</w:rPr>
            </w:pPr>
            <w:r w:rsidDel="00000000" w:rsidR="00000000" w:rsidRPr="00000000">
              <w:rPr>
                <w:rFonts w:ascii="Symbol" w:cs="Symbol" w:eastAsia="Symbol" w:hAnsi="Symbol"/>
                <w:b w:val="1"/>
                <w:color w:val="990000"/>
                <w:sz w:val="24"/>
                <w:szCs w:val="24"/>
                <w:rtl w:val="0"/>
              </w:rPr>
              <w:t xml:space="preserve">δ</w:t>
            </w:r>
            <w:r w:rsidDel="00000000" w:rsidR="00000000" w:rsidRPr="00000000">
              <w:rPr>
                <w:rFonts w:ascii="Symbol" w:cs="Symbol" w:eastAsia="Symbol" w:hAnsi="Symbol"/>
                <w:b w:val="1"/>
                <w:color w:val="990000"/>
                <w:sz w:val="24"/>
                <w:szCs w:val="24"/>
                <w:vertAlign w:val="subscript"/>
                <w:rtl w:val="0"/>
              </w:rPr>
              <w:t xml:space="preserve">500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  <w:rtl w:val="0"/>
              </w:rPr>
              <w:t xml:space="preserve">rpm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rFonts w:ascii="Symbol" w:cs="Symbol" w:eastAsia="Symbol" w:hAnsi="Symbol"/>
                <w:b w:val="1"/>
                <w:color w:val="00b0f0"/>
                <w:sz w:val="24"/>
                <w:szCs w:val="24"/>
                <w:rtl w:val="0"/>
              </w:rPr>
              <w:t xml:space="preserve">δ</w:t>
            </w:r>
            <w:r w:rsidDel="00000000" w:rsidR="00000000" w:rsidRPr="00000000">
              <w:rPr>
                <w:rFonts w:ascii="Symbol" w:cs="Symbol" w:eastAsia="Symbol" w:hAnsi="Symbol"/>
                <w:b w:val="1"/>
                <w:color w:val="00b0f0"/>
                <w:sz w:val="24"/>
                <w:szCs w:val="24"/>
                <w:vertAlign w:val="subscript"/>
                <w:rtl w:val="0"/>
              </w:rPr>
              <w:t xml:space="preserve">1500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  <w:rtl w:val="0"/>
              </w:rPr>
              <w:t xml:space="preserve">rpm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</w:rPr>
            </w:pPr>
            <w:r w:rsidDel="00000000" w:rsidR="00000000" w:rsidRPr="00000000">
              <w:rPr>
                <w:rFonts w:ascii="Symbol" w:cs="Symbol" w:eastAsia="Symbol" w:hAnsi="Symbol"/>
                <w:b w:val="1"/>
                <w:color w:val="60497a"/>
                <w:sz w:val="24"/>
                <w:szCs w:val="24"/>
                <w:rtl w:val="0"/>
              </w:rPr>
              <w:t xml:space="preserve">δ</w:t>
            </w:r>
            <w:r w:rsidDel="00000000" w:rsidR="00000000" w:rsidRPr="00000000">
              <w:rPr>
                <w:rFonts w:ascii="Symbol" w:cs="Symbol" w:eastAsia="Symbol" w:hAnsi="Symbol"/>
                <w:b w:val="1"/>
                <w:color w:val="60497a"/>
                <w:sz w:val="24"/>
                <w:szCs w:val="24"/>
                <w:vertAlign w:val="subscript"/>
                <w:rtl w:val="0"/>
              </w:rPr>
              <w:t xml:space="preserve">500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vertAlign w:val="subscript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  <w:rtl w:val="0"/>
              </w:rPr>
              <w:t xml:space="preserve">rpm</w:t>
            </w:r>
            <w:r w:rsidDel="00000000" w:rsidR="00000000" w:rsidRPr="00000000">
              <w:rPr>
                <w:rFonts w:ascii="Symbol" w:cs="Symbol" w:eastAsia="Symbol" w:hAnsi="Symbol"/>
                <w:b w:val="1"/>
                <w:color w:val="7030a0"/>
                <w:sz w:val="24"/>
                <w:szCs w:val="24"/>
                <w:vertAlign w:val="sub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</w:rPr>
            </w:pPr>
            <w:r w:rsidDel="00000000" w:rsidR="00000000" w:rsidRPr="00000000">
              <w:rPr>
                <w:rFonts w:ascii="Symbol" w:cs="Symbol" w:eastAsia="Symbol" w:hAnsi="Symbol"/>
                <w:b w:val="1"/>
                <w:color w:val="538135"/>
                <w:sz w:val="24"/>
                <w:szCs w:val="24"/>
                <w:rtl w:val="0"/>
              </w:rPr>
              <w:t xml:space="preserve">δ</w:t>
            </w:r>
            <w:r w:rsidDel="00000000" w:rsidR="00000000" w:rsidRPr="00000000">
              <w:rPr>
                <w:rFonts w:ascii="Symbol" w:cs="Symbol" w:eastAsia="Symbol" w:hAnsi="Symbol"/>
                <w:b w:val="1"/>
                <w:color w:val="538135"/>
                <w:sz w:val="24"/>
                <w:szCs w:val="24"/>
                <w:vertAlign w:val="subscript"/>
                <w:rtl w:val="0"/>
              </w:rPr>
              <w:t xml:space="preserve">1500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  <w:rtl w:val="0"/>
              </w:rPr>
              <w:t xml:space="preserve">rpm</w:t>
            </w:r>
          </w:p>
        </w:tc>
      </w:tr>
      <w:tr>
        <w:trPr>
          <w:trHeight w:val="32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Nitrobenzene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  <w:rtl w:val="0"/>
              </w:rPr>
              <w:t xml:space="preserve">10.98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  <w:rtl w:val="0"/>
              </w:rPr>
              <w:t xml:space="preserve">5.55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  <w:rtl w:val="0"/>
              </w:rPr>
              <w:t xml:space="preserve">11.28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  <w:rtl w:val="0"/>
              </w:rPr>
              <w:t xml:space="preserve">5.71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  <w:rtl w:val="0"/>
              </w:rPr>
              <w:t xml:space="preserve">11.85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  <w:rtl w:val="0"/>
              </w:rPr>
              <w:t xml:space="preserve">5.99</w:t>
            </w:r>
          </w:p>
        </w:tc>
      </w:tr>
      <w:tr>
        <w:trPr>
          <w:trHeight w:val="320" w:hRule="atLeast"/>
        </w:trPr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1,3-Dinitrobenzene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  <w:rtl w:val="0"/>
              </w:rPr>
              <w:t xml:space="preserve">10.5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  <w:rtl w:val="0"/>
              </w:rPr>
              <w:t xml:space="preserve">5.31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  <w:rtl w:val="0"/>
              </w:rPr>
              <w:t xml:space="preserve">10.79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  <w:rtl w:val="0"/>
              </w:rPr>
              <w:t xml:space="preserve">5.46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  <w:rtl w:val="0"/>
              </w:rPr>
              <w:t xml:space="preserve">11.33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  <w:rtl w:val="0"/>
              </w:rPr>
              <w:t xml:space="preserve">5.74</w:t>
            </w:r>
          </w:p>
        </w:tc>
      </w:tr>
      <w:tr>
        <w:trPr>
          <w:trHeight w:val="32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2,6-Dinitrotoluene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  <w:rtl w:val="0"/>
              </w:rPr>
              <w:t xml:space="preserve">10.18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  <w:rtl w:val="0"/>
              </w:rPr>
              <w:t xml:space="preserve">5.15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  <w:rtl w:val="0"/>
              </w:rPr>
              <w:t xml:space="preserve">10.46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  <w:rtl w:val="0"/>
              </w:rPr>
              <w:t xml:space="preserve">5.29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  <w:rtl w:val="0"/>
              </w:rPr>
              <w:t xml:space="preserve">10.99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  <w:rtl w:val="0"/>
              </w:rPr>
              <w:t xml:space="preserve">5.56</w:t>
            </w:r>
          </w:p>
        </w:tc>
      </w:tr>
      <w:tr>
        <w:trPr>
          <w:trHeight w:val="320" w:hRule="atLeast"/>
        </w:trPr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Trifluralin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  <w:rtl w:val="0"/>
              </w:rPr>
              <w:t xml:space="preserve">8.72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  <w:rtl w:val="0"/>
              </w:rPr>
              <w:t xml:space="preserve">4.41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  <w:rtl w:val="0"/>
              </w:rPr>
              <w:t xml:space="preserve">8.96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  <w:rtl w:val="0"/>
              </w:rPr>
              <w:t xml:space="preserve">4.53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  <w:rtl w:val="0"/>
              </w:rPr>
              <w:t xml:space="preserve">9.41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  <w:rtl w:val="0"/>
              </w:rPr>
              <w:t xml:space="preserve">4.76</w:t>
            </w:r>
          </w:p>
        </w:tc>
      </w:tr>
      <w:tr>
        <w:trPr>
          <w:trHeight w:val="32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4-Phenylphenol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  <w:rtl w:val="0"/>
              </w:rPr>
              <w:t xml:space="preserve">9.93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  <w:rtl w:val="0"/>
              </w:rPr>
              <w:t xml:space="preserve">5.03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  <w:rtl w:val="0"/>
              </w:rPr>
              <w:t xml:space="preserve">10.2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  <w:rtl w:val="0"/>
              </w:rPr>
              <w:t xml:space="preserve">5.16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  <w:rtl w:val="0"/>
              </w:rPr>
              <w:t xml:space="preserve">10.72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  <w:rtl w:val="0"/>
              </w:rPr>
              <w:t xml:space="preserve">5.42</w:t>
            </w:r>
          </w:p>
        </w:tc>
      </w:tr>
      <w:tr>
        <w:trPr>
          <w:trHeight w:val="320" w:hRule="atLeast"/>
        </w:trPr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Diazinon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  <w:rtl w:val="0"/>
              </w:rPr>
              <w:t xml:space="preserve">8.86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  <w:rtl w:val="0"/>
              </w:rPr>
              <w:t xml:space="preserve">4.48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  <w:rtl w:val="0"/>
              </w:rPr>
              <w:t xml:space="preserve">9.11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  <w:rtl w:val="0"/>
              </w:rPr>
              <w:t xml:space="preserve">4.61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  <w:rtl w:val="0"/>
              </w:rPr>
              <w:t xml:space="preserve">9.56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  <w:rtl w:val="0"/>
              </w:rPr>
              <w:t xml:space="preserve">4.84</w:t>
            </w:r>
          </w:p>
        </w:tc>
      </w:tr>
      <w:tr>
        <w:trPr>
          <w:trHeight w:val="32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Chlorothalonil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  <w:rtl w:val="0"/>
              </w:rPr>
              <w:t xml:space="preserve">9.51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  <w:rtl w:val="0"/>
              </w:rPr>
              <w:t xml:space="preserve">4.81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  <w:rtl w:val="0"/>
              </w:rPr>
              <w:t xml:space="preserve">9.77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  <w:rtl w:val="0"/>
              </w:rPr>
              <w:t xml:space="preserve">4.94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  <w:rtl w:val="0"/>
              </w:rPr>
              <w:t xml:space="preserve">10.26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  <w:rtl w:val="0"/>
              </w:rPr>
              <w:t xml:space="preserve">5.19</w:t>
            </w:r>
          </w:p>
        </w:tc>
      </w:tr>
      <w:tr>
        <w:trPr>
          <w:trHeight w:val="320" w:hRule="atLeast"/>
        </w:trPr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Parathion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  <w:rtl w:val="0"/>
              </w:rPr>
              <w:t xml:space="preserve">9.22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  <w:rtl w:val="0"/>
              </w:rPr>
              <w:t xml:space="preserve">4.66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  <w:rtl w:val="0"/>
              </w:rPr>
              <w:t xml:space="preserve">9.47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  <w:rtl w:val="0"/>
              </w:rPr>
              <w:t xml:space="preserve">4.79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  <w:rtl w:val="0"/>
              </w:rPr>
              <w:t xml:space="preserve">9.95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  <w:rtl w:val="0"/>
              </w:rPr>
              <w:t xml:space="preserve">5.03</w:t>
            </w:r>
          </w:p>
        </w:tc>
      </w:tr>
      <w:tr>
        <w:trPr>
          <w:trHeight w:val="32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Pendimethalin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  <w:rtl w:val="0"/>
              </w:rPr>
              <w:t xml:space="preserve">8.87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  <w:rtl w:val="0"/>
              </w:rPr>
              <w:t xml:space="preserve">4.49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  <w:rtl w:val="0"/>
              </w:rPr>
              <w:t xml:space="preserve">9.12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  <w:rtl w:val="0"/>
              </w:rPr>
              <w:t xml:space="preserve">4.61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  <w:rtl w:val="0"/>
              </w:rPr>
              <w:t xml:space="preserve">9.58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  <w:rtl w:val="0"/>
              </w:rPr>
              <w:t xml:space="preserve">4.85</w:t>
            </w:r>
          </w:p>
        </w:tc>
      </w:tr>
      <w:tr>
        <w:trPr>
          <w:trHeight w:val="320" w:hRule="atLeast"/>
        </w:trPr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4,4'-DDE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  <w:rtl w:val="0"/>
              </w:rPr>
              <w:t xml:space="preserve">8.95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  <w:rtl w:val="0"/>
              </w:rPr>
              <w:t xml:space="preserve">4.53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  <w:rtl w:val="0"/>
              </w:rPr>
              <w:t xml:space="preserve">9.19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  <w:rtl w:val="0"/>
              </w:rPr>
              <w:t xml:space="preserve">4.65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  <w:rtl w:val="0"/>
              </w:rPr>
              <w:t xml:space="preserve">9.66</w:t>
            </w:r>
          </w:p>
        </w:tc>
        <w:tc>
          <w:tcPr>
            <w:tcBorders>
              <w:top w:color="7f7f7f" w:space="0" w:sz="4" w:val="single"/>
              <w:bottom w:color="7f7f7f" w:space="0" w:sz="4" w:val="single"/>
            </w:tcBorders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  <w:rtl w:val="0"/>
              </w:rPr>
              <w:t xml:space="preserve">4.89</w:t>
            </w:r>
          </w:p>
        </w:tc>
      </w:tr>
      <w:tr>
        <w:trPr>
          <w:trHeight w:val="300" w:hRule="atLeast"/>
        </w:trPr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left"/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Diazepam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1f4e79"/>
                <w:sz w:val="24"/>
                <w:szCs w:val="24"/>
                <w:rtl w:val="0"/>
              </w:rPr>
              <w:t xml:space="preserve">8.93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7030a0"/>
                <w:sz w:val="24"/>
                <w:szCs w:val="24"/>
                <w:rtl w:val="0"/>
              </w:rPr>
              <w:t xml:space="preserve">4.52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990000"/>
                <w:sz w:val="24"/>
                <w:szCs w:val="24"/>
                <w:rtl w:val="0"/>
              </w:rPr>
              <w:t xml:space="preserve">9.18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b0f0"/>
                <w:sz w:val="24"/>
                <w:szCs w:val="24"/>
                <w:rtl w:val="0"/>
              </w:rPr>
              <w:t xml:space="preserve">4.64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60497a"/>
                <w:sz w:val="24"/>
                <w:szCs w:val="24"/>
                <w:rtl w:val="0"/>
              </w:rPr>
              <w:t xml:space="preserve">9.64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>
            <w:pPr>
              <w:spacing w:after="0" w:line="240" w:lineRule="auto"/>
              <w:ind w:firstLine="0"/>
              <w:contextualSpacing w:val="0"/>
              <w:jc w:val="center"/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538135"/>
                <w:sz w:val="24"/>
                <w:szCs w:val="24"/>
                <w:rtl w:val="0"/>
              </w:rPr>
              <w:t xml:space="preserve">4.88</w:t>
            </w:r>
          </w:p>
        </w:tc>
      </w:tr>
    </w:tbl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24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0" distT="0" distL="0" distR="0">
            <wp:extent cx="5299710" cy="2543175"/>
            <wp:effectExtent b="0" l="0" r="0" t="0"/>
            <wp:docPr id="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9710" cy="25431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0" distT="0" distL="0" distR="0">
            <wp:extent cx="5299710" cy="2895600"/>
            <wp:effectExtent b="0" l="0" r="0" t="0"/>
            <wp:docPr id="4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9710" cy="2895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0" distT="0" distL="0" distR="0">
            <wp:extent cx="5299710" cy="2809875"/>
            <wp:effectExtent b="0" l="0" r="0" t="0"/>
            <wp:docPr id="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9710" cy="2809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1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0" distT="0" distL="0" distR="0">
            <wp:extent cx="5299710" cy="2828925"/>
            <wp:effectExtent b="0" l="0" r="0" t="0"/>
            <wp:docPr id="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99710" cy="2828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firstLine="0"/>
        <w:contextualSpacing w:val="0"/>
        <w:jc w:val="both"/>
        <w:rPr>
          <w:rFonts w:ascii="Calibri" w:cs="Calibri" w:eastAsia="Calibri" w:hAnsi="Calibri"/>
          <w:b w:val="0"/>
          <w:i w:val="1"/>
          <w:smallCaps w:val="0"/>
          <w:strike w:val="0"/>
          <w:color w:val="44546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44546a"/>
          <w:sz w:val="24"/>
          <w:szCs w:val="24"/>
          <w:u w:val="none"/>
          <w:shd w:fill="auto" w:val="clear"/>
          <w:vertAlign w:val="baseline"/>
          <w:rtl w:val="0"/>
        </w:rPr>
        <w:t xml:space="preserve">Figure S3 - Mass uptake profiles of most polar target analytes obtained from aqueous solutions at 30 ºC.</w:t>
      </w:r>
    </w:p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720"/>
        <w:contextualSpacing w:val="0"/>
        <w:jc w:val="both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0" distT="0" distL="0" distR="0">
            <wp:extent cx="3569384" cy="3220620"/>
            <wp:effectExtent b="0" l="0" r="0" t="0"/>
            <wp:docPr id="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69384" cy="32206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firstLine="0"/>
        <w:contextualSpacing w:val="0"/>
        <w:jc w:val="both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Figure S4 - Schematic representation of the model domains used in the Comsol modeling and simulations. </w:t>
      </w:r>
    </w:p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i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720"/>
        <w:contextualSpacing w:val="0"/>
        <w:jc w:val="both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Table S4 Parameters used in the modeling and simulations.  </w:t>
      </w:r>
    </w:p>
    <w:tbl>
      <w:tblPr>
        <w:tblStyle w:val="Table4"/>
        <w:tblW w:w="10236.0" w:type="dxa"/>
        <w:jc w:val="left"/>
        <w:tblInd w:w="0.0" w:type="dxa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A0"/>
      </w:tblPr>
      <w:tblGrid>
        <w:gridCol w:w="4500"/>
        <w:gridCol w:w="882"/>
        <w:gridCol w:w="2098"/>
        <w:gridCol w:w="1080"/>
        <w:gridCol w:w="1676"/>
        <w:tblGridChange w:id="0">
          <w:tblGrid>
            <w:gridCol w:w="4500"/>
            <w:gridCol w:w="882"/>
            <w:gridCol w:w="2098"/>
            <w:gridCol w:w="1080"/>
            <w:gridCol w:w="1676"/>
          </w:tblGrid>
        </w:tblGridChange>
      </w:tblGrid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Parameters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Unit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1,3-Dinitrobenzene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Diazinon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Pendamethalin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Partition coefficient PDMS-DVB/Water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886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18916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114295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Partition coefficient PDMS/Water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2500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151356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Partition coefficient PDMS/PDMS-DVB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7.51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Diffusion coefficient in water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cm</w:t>
            </w:r>
            <w:r w:rsidDel="00000000" w:rsidR="00000000" w:rsidRPr="00000000">
              <w:rPr>
                <w:rFonts w:ascii="Calibri" w:cs="Calibri" w:eastAsia="Calibri" w:hAnsi="Calibri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/s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8.99E-06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5.75E-06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7.37E-06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Diffusion coefficient in coating and overcoating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cm</w:t>
            </w:r>
            <w:r w:rsidDel="00000000" w:rsidR="00000000" w:rsidRPr="00000000">
              <w:rPr>
                <w:rFonts w:ascii="Calibri" w:cs="Calibri" w:eastAsia="Calibri" w:hAnsi="Calibri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/s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1.50E-06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9.58E-07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1.23E-06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Fluid linear velocity (for 1500 rpm)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cm/s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3.5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3.5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3.5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Fluid linear velocity (for 500 rpm)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cm/s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2.5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2.5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2.5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Temperature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35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Volume of PDMS-DVB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mL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4.40E-04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4.40E-04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4.40E-04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Volume of over coating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µl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8.80E-02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8.80E-02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8.80E-02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Diameter of the fiber core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mm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1.30E-01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1.30E-01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1.30E-01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Total diameter of the over coated fiber (1 Layer)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mm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2.70E-01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2.70E-01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2.70E-01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Total diameter of the over coated fiber (2 Layers)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mm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2.90E-01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2.90E-01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2.90E-01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Initial concentration 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ng/mL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150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7.5</w:t>
            </w:r>
          </w:p>
        </w:tc>
        <w:tc>
          <w:tcPr/>
          <w:p w:rsidR="00000000" w:rsidDel="00000000" w:rsidP="00000000" w:rsidRDefault="00000000" w:rsidRPr="00000000">
            <w:pPr>
              <w:contextualSpacing w:val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</w:tr>
    </w:tbl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5"/>
        <w:tblW w:w="9350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350"/>
        <w:tblGridChange w:id="0">
          <w:tblGrid>
            <w:gridCol w:w="9350"/>
          </w:tblGrid>
        </w:tblGridChange>
      </w:tblGrid>
      <w:tr>
        <w:tc>
          <w:tcPr/>
          <w:p w:rsidR="00000000" w:rsidDel="00000000" w:rsidP="00000000" w:rsidRDefault="00000000" w:rsidRPr="00000000">
            <w:pPr>
              <w:keepNext w:val="1"/>
              <w:contextualSpacing w:val="0"/>
              <w:rPr/>
            </w:pPr>
            <w:r w:rsidDel="00000000" w:rsidR="00000000" w:rsidRPr="00000000">
              <w:rPr/>
              <w:drawing>
                <wp:inline distB="0" distT="0" distL="0" distR="0">
                  <wp:extent cx="5035550" cy="3206750"/>
                  <wp:effectExtent b="0" l="0" r="0" t="0"/>
                  <wp:docPr id="8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5550" cy="32067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/>
              <w:drawing>
                <wp:inline distB="0" distT="0" distL="0" distR="0">
                  <wp:extent cx="5035550" cy="3206750"/>
                  <wp:effectExtent b="0" l="0" r="0" t="0"/>
                  <wp:docPr id="10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5550" cy="32067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520700" cy="266700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088825" y="3646650"/>
                                <a:ext cx="51435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40" w:before="0" w:line="480"/>
                                    <w:ind w:left="0" w:right="0" w:firstLine="720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(a)</w:t>
                                  </w:r>
                                </w:p>
                              </w:txbxContent>
                            </wps:txbx>
                            <wps:bodyPr anchorCtr="0" anchor="t" bIns="45700" lIns="91425" rIns="91425" wrap="square" tIns="45700"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520700" cy="266700"/>
                      <wp:effectExtent b="0" l="0" r="0" t="0"/>
                      <wp:wrapNone/>
                      <wp:docPr id="13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20700" cy="266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margin">
                        <wp:posOffset>-25399</wp:posOffset>
                      </wp:positionH>
                      <wp:positionV relativeFrom="paragraph">
                        <wp:posOffset>3035300</wp:posOffset>
                      </wp:positionV>
                      <wp:extent cx="520700" cy="266700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088825" y="3646650"/>
                                <a:ext cx="51435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40" w:before="0" w:line="480"/>
                                    <w:ind w:left="0" w:right="0" w:firstLine="720"/>
                                    <w:jc w:val="both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alibri" w:cs="Calibri" w:eastAsia="Calibri" w:hAnsi="Calibri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2"/>
                                      <w:vertAlign w:val="baseline"/>
                                    </w:rPr>
                                    <w:t xml:space="preserve">(b)</w:t>
                                  </w:r>
                                </w:p>
                              </w:txbxContent>
                            </wps:txbx>
                            <wps:bodyPr anchorCtr="0" anchor="t" bIns="45700" lIns="91425" rIns="91425" wrap="square" tIns="45700"/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margin">
                        <wp:posOffset>-25399</wp:posOffset>
                      </wp:positionH>
                      <wp:positionV relativeFrom="paragraph">
                        <wp:posOffset>3035300</wp:posOffset>
                      </wp:positionV>
                      <wp:extent cx="520700" cy="266700"/>
                      <wp:effectExtent b="0" l="0" r="0" t="0"/>
                      <wp:wrapNone/>
                      <wp:docPr id="14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1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20700" cy="266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>
            <w:pPr>
              <w:keepNext w:val="1"/>
              <w:ind w:firstLine="0"/>
              <w:contextualSpacing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Figure S 5. Concentration profile from the coating inner surface to the bulk of the solution. Infinite volume of sample was considered for the simulation. a) Concentration profile for a polar analyte, 1, 3-dinitrobenzene; b) concentration profile for a non-polar analyte, pendimethalin. Parameters used in the simulation is shown in Table S4. </w:t>
            </w:r>
          </w:p>
        </w:tc>
      </w:tr>
    </w:tbl>
    <w:p w:rsidR="00000000" w:rsidDel="00000000" w:rsidP="00000000" w:rsidRDefault="00000000" w:rsidRPr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contextualSpacing w:val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margin">
                  <wp:posOffset>685800</wp:posOffset>
                </wp:positionH>
                <wp:positionV relativeFrom="paragraph">
                  <wp:posOffset>0</wp:posOffset>
                </wp:positionV>
                <wp:extent cx="393700" cy="29210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150738" y="3637125"/>
                          <a:ext cx="3905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40" w:before="0" w:line="480"/>
                              <w:ind w:left="0" w:right="0" w:firstLine="72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B)</w:t>
                            </w:r>
                          </w:p>
                        </w:txbxContent>
                      </wps:txbx>
                      <wps:bodyPr anchorCtr="0" anchor="t" bIns="45700" lIns="91425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margin">
                  <wp:posOffset>685800</wp:posOffset>
                </wp:positionH>
                <wp:positionV relativeFrom="paragraph">
                  <wp:posOffset>0</wp:posOffset>
                </wp:positionV>
                <wp:extent cx="393700" cy="292100"/>
                <wp:effectExtent b="0" l="0" r="0" t="0"/>
                <wp:wrapNone/>
                <wp:docPr id="15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3700" cy="292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>
      <w:pPr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20" w:type="default"/>
      <w:footerReference r:id="rId21" w:type="default"/>
      <w:footerReference r:id="rId22" w:type="first"/>
      <w:pgSz w:h="15840" w:w="12240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Times New Roman"/>
  <w:font w:name="Symbol"/>
  <w:font w:name="Arno Pro"/>
  <w:font w:name="Open Sans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720"/>
      <w:contextualSpacing w:val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S-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709" w:before="0" w:line="240" w:lineRule="auto"/>
      <w:ind w:left="0" w:right="0" w:firstLine="720"/>
      <w:contextualSpacing w:val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720"/>
      <w:contextualSpacing w:val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S-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709" w:before="0" w:line="240" w:lineRule="auto"/>
      <w:ind w:left="0" w:right="0" w:firstLine="720"/>
      <w:contextualSpacing w:val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709" w:line="240" w:lineRule="auto"/>
      <w:ind w:left="0" w:right="0" w:firstLine="720"/>
      <w:contextualSpacing w:val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720"/>
      <w:contextualSpacing w:val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en-CA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480" w:lineRule="auto"/>
        <w:ind w:left="0" w:right="0" w:firstLine="720"/>
        <w:contextualSpacing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  <w:ind w:firstLine="0"/>
      <w:jc w:val="left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ededed" w:val="clear"/>
    </w:tcPr>
    <w:tblStylePr w:type="band1Horz">
      <w:tcPr>
        <w:shd w:fill="dbdbdb" w:val="clear"/>
      </w:tcPr>
    </w:tblStylePr>
    <w:tblStylePr w:type="band1Vert">
      <w:tcPr>
        <w:shd w:fill="dbdbdb" w:val="clear"/>
      </w:tcPr>
    </w:tblStylePr>
    <w:tblStylePr w:type="firstCol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color="000000" w:space="0" w:sz="0" w:val="nil"/>
        </w:tcBorders>
        <w:shd w:fill="a5a5a5" w:val="clear"/>
      </w:tcPr>
    </w:tblStylePr>
    <w:tblStylePr w:type="firstRow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a5a5a5" w:val="clear"/>
      </w:tcPr>
    </w:tblStylePr>
    <w:tblStylePr w:type="lastCol">
      <w:rPr>
        <w:b w:val="1"/>
        <w:color w:val="ffffff"/>
      </w:rPr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color="000000" w:space="0" w:sz="0" w:val="nil"/>
        </w:tcBorders>
        <w:shd w:fill="a5a5a5" w:val="clear"/>
      </w:tcPr>
    </w:tblStylePr>
    <w:tblStylePr w:type="lastRow">
      <w:rPr>
        <w:b w:val="1"/>
        <w:color w:val="ffffff"/>
      </w:rPr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a5a5a5" w:val="clear"/>
      </w:tcPr>
    </w:tblStylePr>
  </w:style>
  <w:style w:type="table" w:styleId="Table5">
    <w:basedOn w:val="TableNormal"/>
    <w:pPr>
      <w:spacing w:after="0" w:line="240" w:lineRule="auto"/>
      <w:ind w:firstLine="0"/>
      <w:jc w:val="left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ededed" w:val="clear"/>
    </w:tc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eader" Target="header1.xml"/><Relationship Id="rId11" Type="http://schemas.openxmlformats.org/officeDocument/2006/relationships/image" Target="media/image11.png"/><Relationship Id="rId22" Type="http://schemas.openxmlformats.org/officeDocument/2006/relationships/footer" Target="footer2.xml"/><Relationship Id="rId10" Type="http://schemas.openxmlformats.org/officeDocument/2006/relationships/image" Target="media/image15.png"/><Relationship Id="rId21" Type="http://schemas.openxmlformats.org/officeDocument/2006/relationships/footer" Target="footer1.xml"/><Relationship Id="rId13" Type="http://schemas.openxmlformats.org/officeDocument/2006/relationships/image" Target="media/image16.png"/><Relationship Id="rId12" Type="http://schemas.openxmlformats.org/officeDocument/2006/relationships/image" Target="media/image17.png"/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9" Type="http://schemas.openxmlformats.org/officeDocument/2006/relationships/image" Target="media/image22.png"/><Relationship Id="rId15" Type="http://schemas.openxmlformats.org/officeDocument/2006/relationships/image" Target="media/image18.png"/><Relationship Id="rId14" Type="http://schemas.openxmlformats.org/officeDocument/2006/relationships/image" Target="media/image19.png"/><Relationship Id="rId17" Type="http://schemas.openxmlformats.org/officeDocument/2006/relationships/image" Target="media/image26.png"/><Relationship Id="rId16" Type="http://schemas.openxmlformats.org/officeDocument/2006/relationships/image" Target="media/image20.png"/><Relationship Id="rId5" Type="http://schemas.openxmlformats.org/officeDocument/2006/relationships/image" Target="media/image3.png"/><Relationship Id="rId19" Type="http://schemas.openxmlformats.org/officeDocument/2006/relationships/image" Target="media/image30.png"/><Relationship Id="rId6" Type="http://schemas.openxmlformats.org/officeDocument/2006/relationships/image" Target="media/image9.png"/><Relationship Id="rId18" Type="http://schemas.openxmlformats.org/officeDocument/2006/relationships/image" Target="media/image28.png"/><Relationship Id="rId7" Type="http://schemas.openxmlformats.org/officeDocument/2006/relationships/image" Target="media/image24.png"/><Relationship Id="rId8" Type="http://schemas.openxmlformats.org/officeDocument/2006/relationships/image" Target="media/image7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Light-regular.ttf"/><Relationship Id="rId2" Type="http://schemas.openxmlformats.org/officeDocument/2006/relationships/font" Target="fonts/OpenSansLight-bold.ttf"/><Relationship Id="rId3" Type="http://schemas.openxmlformats.org/officeDocument/2006/relationships/font" Target="fonts/OpenSansLight-italic.ttf"/><Relationship Id="rId4" Type="http://schemas.openxmlformats.org/officeDocument/2006/relationships/font" Target="fonts/OpenSansLight-boldItalic.ttf"/></Relationships>
</file>