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80" w:before="1400" w:line="240" w:lineRule="auto"/>
        <w:ind w:left="0" w:right="0" w:firstLine="0"/>
        <w:contextualSpacing w:val="0"/>
        <w:jc w:val="left"/>
        <w:rPr>
          <w:rFonts w:ascii="Open Sans Light" w:cs="Open Sans Light" w:eastAsia="Open Sans Light" w:hAnsi="Open Sans Light"/>
          <w:b w:val="1"/>
          <w:i w:val="0"/>
          <w:smallCaps w:val="0"/>
          <w:strike w:val="0"/>
          <w:color w:val="000000"/>
          <w:sz w:val="34"/>
          <w:szCs w:val="34"/>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34"/>
          <w:szCs w:val="34"/>
          <w:u w:val="none"/>
          <w:shd w:fill="auto" w:val="clear"/>
          <w:vertAlign w:val="baseline"/>
          <w:rtl w:val="0"/>
        </w:rPr>
        <w:t xml:space="preserve">Development of a Multichannel Microfluidic System with Schlieren Imaging Microscopy for Online Chip-Based </w:t>
      </w:r>
      <w:r w:rsidDel="00000000" w:rsidR="00000000" w:rsidRPr="00000000">
        <w:rPr>
          <w:rFonts w:ascii="Times New Roman" w:cs="Times New Roman" w:eastAsia="Times New Roman" w:hAnsi="Times New Roman"/>
          <w:b w:val="1"/>
          <w:i w:val="0"/>
          <w:smallCaps w:val="0"/>
          <w:strike w:val="0"/>
          <w:color w:val="000000"/>
          <w:sz w:val="34"/>
          <w:szCs w:val="34"/>
          <w:u w:val="none"/>
          <w:shd w:fill="auto" w:val="clear"/>
          <w:vertAlign w:val="baseline"/>
          <w:rtl w:val="0"/>
        </w:rPr>
        <w:t xml:space="preserve">Moving Boundary </w:t>
      </w:r>
      <w:r w:rsidDel="00000000" w:rsidR="00000000" w:rsidRPr="00000000">
        <w:rPr>
          <w:rFonts w:ascii="Open Sans Light" w:cs="Open Sans Light" w:eastAsia="Open Sans Light" w:hAnsi="Open Sans Light"/>
          <w:b w:val="1"/>
          <w:i w:val="0"/>
          <w:smallCaps w:val="0"/>
          <w:strike w:val="0"/>
          <w:color w:val="000000"/>
          <w:sz w:val="34"/>
          <w:szCs w:val="34"/>
          <w:u w:val="none"/>
          <w:shd w:fill="auto" w:val="clear"/>
          <w:vertAlign w:val="baseline"/>
          <w:rtl w:val="0"/>
        </w:rPr>
        <w:t xml:space="preserve">Electrophoresis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80" w:before="0" w:line="240" w:lineRule="auto"/>
        <w:ind w:left="0" w:right="0" w:firstLine="0"/>
        <w:contextualSpacing w:val="0"/>
        <w:jc w:val="left"/>
        <w:rPr>
          <w:rFonts w:ascii="Arno Pro" w:cs="Arno Pro" w:eastAsia="Arno Pro" w:hAnsi="Arno Pro"/>
          <w:b w:val="0"/>
          <w:i w:val="0"/>
          <w:smallCaps w:val="0"/>
          <w:strike w:val="0"/>
          <w:color w:val="000000"/>
          <w:sz w:val="24"/>
          <w:szCs w:val="24"/>
          <w:u w:val="none"/>
          <w:shd w:fill="auto" w:val="clear"/>
          <w:vertAlign w:val="baseline"/>
        </w:rPr>
      </w:pPr>
      <w:r w:rsidDel="00000000" w:rsidR="00000000" w:rsidRPr="00000000">
        <w:rPr>
          <w:rFonts w:ascii="Arno Pro" w:cs="Arno Pro" w:eastAsia="Arno Pro" w:hAnsi="Arno Pro"/>
          <w:b w:val="0"/>
          <w:i w:val="0"/>
          <w:smallCaps w:val="0"/>
          <w:strike w:val="0"/>
          <w:color w:val="000000"/>
          <w:sz w:val="24"/>
          <w:szCs w:val="24"/>
          <w:u w:val="none"/>
          <w:shd w:fill="auto" w:val="clear"/>
          <w:vertAlign w:val="baseline"/>
          <w:rtl w:val="0"/>
        </w:rPr>
        <w:t xml:space="preserve">Atefeh S. Zarabadi</w:t>
      </w:r>
      <w:r w:rsidDel="00000000" w:rsidR="00000000" w:rsidRPr="00000000">
        <w:rPr>
          <w:rFonts w:ascii="Arno Pro" w:cs="Arno Pro" w:eastAsia="Arno Pro" w:hAnsi="Arno Pro"/>
          <w:b w:val="0"/>
          <w:i w:val="0"/>
          <w:smallCaps w:val="0"/>
          <w:strike w:val="0"/>
          <w:color w:val="000000"/>
          <w:sz w:val="24"/>
          <w:szCs w:val="24"/>
          <w:u w:val="none"/>
          <w:shd w:fill="auto" w:val="clear"/>
          <w:vertAlign w:val="superscript"/>
          <w:rtl w:val="0"/>
        </w:rPr>
        <w:t xml:space="preserve">1</w:t>
      </w:r>
      <w:r w:rsidDel="00000000" w:rsidR="00000000" w:rsidRPr="00000000">
        <w:rPr>
          <w:rFonts w:ascii="Arno Pro" w:cs="Arno Pro" w:eastAsia="Arno Pro" w:hAnsi="Arno Pro"/>
          <w:b w:val="0"/>
          <w:i w:val="0"/>
          <w:smallCaps w:val="0"/>
          <w:strike w:val="0"/>
          <w:color w:val="000000"/>
          <w:sz w:val="24"/>
          <w:szCs w:val="24"/>
          <w:u w:val="none"/>
          <w:shd w:fill="auto" w:val="clear"/>
          <w:vertAlign w:val="baseline"/>
          <w:rtl w:val="0"/>
        </w:rPr>
        <w:t xml:space="preserve">, Janusz Pawliszyn</w:t>
      </w:r>
      <w:r w:rsidDel="00000000" w:rsidR="00000000" w:rsidRPr="00000000">
        <w:rPr>
          <w:rFonts w:ascii="Arno Pro" w:cs="Arno Pro" w:eastAsia="Arno Pro" w:hAnsi="Arno Pro"/>
          <w:b w:val="0"/>
          <w:i w:val="0"/>
          <w:smallCaps w:val="0"/>
          <w:strike w:val="0"/>
          <w:color w:val="000000"/>
          <w:sz w:val="24"/>
          <w:szCs w:val="24"/>
          <w:u w:val="none"/>
          <w:shd w:fill="auto" w:val="clear"/>
          <w:vertAlign w:val="superscript"/>
          <w:rtl w:val="0"/>
        </w:rPr>
        <w:t xml:space="preserve">*1</w:t>
      </w:r>
      <w:r w:rsidDel="00000000" w:rsidR="00000000" w:rsidRPr="00000000">
        <w:rPr>
          <w:rFonts w:ascii="Arno Pro" w:cs="Arno Pro" w:eastAsia="Arno Pro" w:hAnsi="Arno Pro"/>
          <w:b w:val="0"/>
          <w:i w:val="0"/>
          <w:smallCaps w:val="0"/>
          <w:strike w:val="0"/>
          <w:color w:val="000000"/>
          <w:sz w:val="24"/>
          <w:szCs w:val="24"/>
          <w:u w:val="none"/>
          <w:shd w:fill="auto" w:val="clear"/>
          <w:vertAlign w:val="baseline"/>
          <w:rtl w:val="0"/>
        </w:rPr>
        <w:t xml:space="preserve">, Mojtaba Hajialamdari</w:t>
      </w:r>
      <w:r w:rsidDel="00000000" w:rsidR="00000000" w:rsidRPr="00000000">
        <w:rPr>
          <w:rFonts w:ascii="Arno Pro" w:cs="Arno Pro" w:eastAsia="Arno Pro" w:hAnsi="Arno Pro"/>
          <w:b w:val="0"/>
          <w:i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left"/>
        <w:rPr>
          <w:rFonts w:ascii="Arno Pro" w:cs="Arno Pro" w:eastAsia="Arno Pro" w:hAnsi="Arno Pro"/>
          <w:b w:val="0"/>
          <w:i w:val="0"/>
          <w:smallCaps w:val="0"/>
          <w:strike w:val="0"/>
          <w:color w:val="000000"/>
          <w:sz w:val="20"/>
          <w:szCs w:val="20"/>
          <w:u w:val="none"/>
          <w:shd w:fill="auto" w:val="clear"/>
          <w:vertAlign w:val="baseline"/>
        </w:rPr>
      </w:pPr>
      <w:r w:rsidDel="00000000" w:rsidR="00000000" w:rsidRPr="00000000">
        <w:rPr>
          <w:rFonts w:ascii="Arno Pro" w:cs="Arno Pro" w:eastAsia="Arno Pro" w:hAnsi="Arno Pro"/>
          <w:b w:val="0"/>
          <w:i w:val="0"/>
          <w:smallCaps w:val="0"/>
          <w:strike w:val="0"/>
          <w:color w:val="000000"/>
          <w:sz w:val="20"/>
          <w:szCs w:val="20"/>
          <w:u w:val="none"/>
          <w:shd w:fill="auto" w:val="clear"/>
          <w:vertAlign w:val="superscript"/>
          <w:rtl w:val="0"/>
        </w:rPr>
        <w:t xml:space="preserve">1</w:t>
      </w:r>
      <w:r w:rsidDel="00000000" w:rsidR="00000000" w:rsidRPr="00000000">
        <w:rPr>
          <w:rFonts w:ascii="Arno Pro" w:cs="Arno Pro" w:eastAsia="Arno Pro" w:hAnsi="Arno Pro"/>
          <w:b w:val="0"/>
          <w:i w:val="0"/>
          <w:smallCaps w:val="0"/>
          <w:strike w:val="0"/>
          <w:color w:val="000000"/>
          <w:sz w:val="20"/>
          <w:szCs w:val="20"/>
          <w:u w:val="none"/>
          <w:shd w:fill="auto" w:val="clear"/>
          <w:vertAlign w:val="baseline"/>
          <w:rtl w:val="0"/>
        </w:rPr>
        <w:t xml:space="preserve">Department Of Chemistry, University Of Waterloo, Waterloo, Ontario, Canada N2l 3G1</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left"/>
        <w:rPr>
          <w:rFonts w:ascii="Arno Pro" w:cs="Arno Pro" w:eastAsia="Arno Pro" w:hAnsi="Arno Pro"/>
          <w:b w:val="0"/>
          <w:i w:val="0"/>
          <w:smallCaps w:val="0"/>
          <w:strike w:val="0"/>
          <w:color w:val="000000"/>
          <w:sz w:val="20"/>
          <w:szCs w:val="20"/>
          <w:u w:val="none"/>
          <w:shd w:fill="auto" w:val="clear"/>
          <w:vertAlign w:val="baseline"/>
        </w:rPr>
      </w:pPr>
      <w:r w:rsidDel="00000000" w:rsidR="00000000" w:rsidRPr="00000000">
        <w:rPr>
          <w:rFonts w:ascii="Arno Pro" w:cs="Arno Pro" w:eastAsia="Arno Pro" w:hAnsi="Arno Pro"/>
          <w:b w:val="0"/>
          <w:i w:val="0"/>
          <w:smallCaps w:val="0"/>
          <w:strike w:val="0"/>
          <w:color w:val="000000"/>
          <w:sz w:val="20"/>
          <w:szCs w:val="20"/>
          <w:u w:val="none"/>
          <w:shd w:fill="auto" w:val="clear"/>
          <w:vertAlign w:val="superscript"/>
          <w:rtl w:val="0"/>
        </w:rPr>
        <w:t xml:space="preserve">2</w:t>
      </w:r>
      <w:r w:rsidDel="00000000" w:rsidR="00000000" w:rsidRPr="00000000">
        <w:rPr>
          <w:rFonts w:ascii="Arno Pro" w:cs="Arno Pro" w:eastAsia="Arno Pro" w:hAnsi="Arno Pro"/>
          <w:b w:val="0"/>
          <w:i w:val="0"/>
          <w:smallCaps w:val="0"/>
          <w:strike w:val="0"/>
          <w:color w:val="000000"/>
          <w:sz w:val="20"/>
          <w:szCs w:val="20"/>
          <w:u w:val="none"/>
          <w:shd w:fill="auto" w:val="clear"/>
          <w:vertAlign w:val="baseline"/>
          <w:rtl w:val="0"/>
        </w:rPr>
        <w:t xml:space="preserve">Department of Physics and Astronomy, University Of Waterloo, Waterloo, Ontario, Canada N2l 3G1</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left"/>
        <w:rPr>
          <w:rFonts w:ascii="Arno Pro" w:cs="Arno Pro" w:eastAsia="Arno Pro" w:hAnsi="Arno Pro"/>
          <w:b w:val="0"/>
          <w:i w:val="0"/>
          <w:smallCaps w:val="0"/>
          <w:strike w:val="0"/>
          <w:color w:val="000000"/>
          <w:sz w:val="20"/>
          <w:szCs w:val="20"/>
          <w:u w:val="none"/>
          <w:shd w:fill="auto" w:val="clear"/>
          <w:vertAlign w:val="baseline"/>
        </w:rPr>
      </w:pPr>
      <w:r w:rsidDel="00000000" w:rsidR="00000000" w:rsidRPr="00000000">
        <w:rPr>
          <w:rFonts w:ascii="Arno Pro" w:cs="Arno Pro" w:eastAsia="Arno Pro" w:hAnsi="Arno Pro"/>
          <w:b w:val="0"/>
          <w:i w:val="0"/>
          <w:smallCaps w:val="0"/>
          <w:strike w:val="0"/>
          <w:color w:val="000000"/>
          <w:sz w:val="20"/>
          <w:szCs w:val="20"/>
          <w:u w:val="none"/>
          <w:shd w:fill="auto" w:val="clear"/>
          <w:vertAlign w:val="superscript"/>
          <w:rtl w:val="0"/>
        </w:rPr>
        <w:t xml:space="preserve">*</w:t>
      </w:r>
      <w:r w:rsidDel="00000000" w:rsidR="00000000" w:rsidRPr="00000000">
        <w:rPr>
          <w:rFonts w:ascii="Arno Pro" w:cs="Arno Pro" w:eastAsia="Arno Pro" w:hAnsi="Arno Pro"/>
          <w:b w:val="0"/>
          <w:i w:val="0"/>
          <w:smallCaps w:val="0"/>
          <w:strike w:val="0"/>
          <w:color w:val="000000"/>
          <w:sz w:val="20"/>
          <w:szCs w:val="20"/>
          <w:u w:val="none"/>
          <w:shd w:fill="auto" w:val="clear"/>
          <w:vertAlign w:val="baseline"/>
          <w:rtl w:val="0"/>
        </w:rPr>
        <w:t xml:space="preserve">E-mail: </w:t>
      </w:r>
      <w:hyperlink r:id="rId5">
        <w:r w:rsidDel="00000000" w:rsidR="00000000" w:rsidRPr="00000000">
          <w:rPr>
            <w:rFonts w:ascii="Arno Pro" w:cs="Arno Pro" w:eastAsia="Arno Pro" w:hAnsi="Arno Pro"/>
            <w:b w:val="0"/>
            <w:i w:val="0"/>
            <w:smallCaps w:val="0"/>
            <w:strike w:val="0"/>
            <w:color w:val="000000"/>
            <w:sz w:val="20"/>
            <w:szCs w:val="20"/>
            <w:u w:val="none"/>
            <w:shd w:fill="auto" w:val="clear"/>
            <w:vertAlign w:val="baseline"/>
            <w:rtl w:val="0"/>
          </w:rPr>
          <w:t xml:space="preserve">janusz@uwaterloo.ca</w:t>
        </w:r>
      </w:hyperlink>
      <w:r w:rsidDel="00000000" w:rsidR="00000000" w:rsidRPr="00000000">
        <w:rPr>
          <w:rFonts w:ascii="Arno Pro" w:cs="Arno Pro" w:eastAsia="Arno Pro" w:hAnsi="Arno Pro"/>
          <w:b w:val="0"/>
          <w:i w:val="0"/>
          <w:smallCaps w:val="0"/>
          <w:strike w:val="0"/>
          <w:color w:val="000000"/>
          <w:sz w:val="20"/>
          <w:szCs w:val="20"/>
          <w:u w:val="none"/>
          <w:shd w:fill="auto" w:val="clear"/>
          <w:vertAlign w:val="baseline"/>
          <w:rtl w:val="0"/>
        </w:rPr>
        <w:t xml:space="preserve"> Phone: 519-888-4567 x35123</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contextualSpacing w:val="0"/>
        <w:jc w:val="left"/>
        <w:rPr>
          <w:rFonts w:ascii="Arno Pro" w:cs="Arno Pro" w:eastAsia="Arno Pro" w:hAnsi="Arno Pro"/>
          <w:b w:val="0"/>
          <w:i w:val="1"/>
          <w:smallCaps w:val="0"/>
          <w:strike w:val="0"/>
          <w:color w:val="000000"/>
          <w:sz w:val="20"/>
          <w:szCs w:val="20"/>
          <w:u w:val="none"/>
          <w:shd w:fill="auto" w:val="clear"/>
          <w:vertAlign w:val="baseline"/>
        </w:rPr>
      </w:pPr>
      <w:r w:rsidDel="00000000" w:rsidR="00000000" w:rsidRPr="00000000">
        <w:rPr>
          <w:rFonts w:ascii="Arno Pro" w:cs="Arno Pro" w:eastAsia="Arno Pro" w:hAnsi="Arno Pro"/>
          <w:b w:val="1"/>
          <w:i w:val="1"/>
          <w:smallCaps w:val="0"/>
          <w:strike w:val="0"/>
          <w:color w:val="000000"/>
          <w:sz w:val="20"/>
          <w:szCs w:val="20"/>
          <w:u w:val="none"/>
          <w:shd w:fill="auto" w:val="clear"/>
          <w:vertAlign w:val="baseline"/>
          <w:rtl w:val="0"/>
        </w:rPr>
        <w:t xml:space="preserve">Keywords:</w:t>
      </w:r>
      <w:r w:rsidDel="00000000" w:rsidR="00000000" w:rsidRPr="00000000">
        <w:rPr>
          <w:rFonts w:ascii="Arno Pro" w:cs="Arno Pro" w:eastAsia="Arno Pro" w:hAnsi="Arno Pro"/>
          <w:b w:val="0"/>
          <w:i w:val="1"/>
          <w:smallCaps w:val="0"/>
          <w:strike w:val="0"/>
          <w:color w:val="000000"/>
          <w:sz w:val="20"/>
          <w:szCs w:val="20"/>
          <w:u w:val="none"/>
          <w:shd w:fill="auto" w:val="clear"/>
          <w:vertAlign w:val="baseline"/>
          <w:rtl w:val="0"/>
        </w:rPr>
        <w:t xml:space="preserve"> Capillary isoelectric focusing; Concentration gradient detection; Moving Boundary Electrophoresis; Multichannel Chip; Schlieren imaging microscopy.</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Schlieren Set-up</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The system was mounted on a vibration isolation table. The components were arranged as outlined in Figure S-1, and fine adjustments were precisely performed. The light was accurately focused so as to avoid aberrations and misalignment of the optical components, and each of the components was carefully aligned to pass the light without interferences or distortion. After optimization of the positions and appropriate alignment, the system was rotated to the vertical configuration.</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The system implemented a beam-expander lens to expand the green laser (532 nm, power </w:t>
      </w:r>
      <w:r w:rsidDel="00000000" w:rsidR="00000000" w:rsidRPr="00000000">
        <w:rPr>
          <w:rFonts w:ascii="ＭＳ ゴシック" w:cs="ＭＳ ゴシック" w:eastAsia="ＭＳ ゴシック" w:hAnsi="ＭＳ ゴシック"/>
          <w:b w:val="0"/>
          <w:i w:val="0"/>
          <w:smallCaps w:val="0"/>
          <w:strike w:val="0"/>
          <w:color w:val="000000"/>
          <w:sz w:val="19"/>
          <w:szCs w:val="19"/>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5 mW) beam to a 5cm-diameter light spot, and was equipped with filters and a pinhole to adjust to a desired spot diameter and lower the power. The collimated light traversed another lens (L</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to reach the test area, where the chip was located. Depending on the experiment, the light was deflected by or straightly passed through the Schlieren lens (L</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those rays that were not deflected would focus at the Stop and were blocked there, while the rays that were deflected by the sample inside the channel changed their path and reached the camera. The deflected beams were focused and hit the sensor via the image transfer lens (L</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w:t>
      </w:r>
    </w:p>
    <w:tbl>
      <w:tblPr>
        <w:tblStyle w:val="Table1"/>
        <w:tblW w:w="10268.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268"/>
        <w:tblGridChange w:id="0">
          <w:tblGrid>
            <w:gridCol w:w="10268"/>
          </w:tblGrid>
        </w:tblGridChange>
      </w:tblGrid>
      <w:tr>
        <w:tc>
          <w:tcPr/>
          <w:p w:rsidR="00000000" w:rsidDel="00000000" w:rsidP="00000000" w:rsidRDefault="00000000" w:rsidRPr="00000000">
            <w:pPr>
              <w:widowControl w:val="0"/>
              <w:spacing w:after="140" w:line="288" w:lineRule="auto"/>
              <w:contextualSpacing w:val="0"/>
              <w:jc w:val="left"/>
              <w:rPr>
                <w:rFonts w:ascii="Times" w:cs="Times" w:eastAsia="Times" w:hAnsi="Times"/>
                <w:sz w:val="18"/>
                <w:szCs w:val="18"/>
                <w:vertAlign w:val="superscript"/>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margin">
                        <wp:posOffset>711200</wp:posOffset>
                      </wp:positionH>
                      <wp:positionV relativeFrom="paragraph">
                        <wp:posOffset>-546099</wp:posOffset>
                      </wp:positionV>
                      <wp:extent cx="4813300" cy="1930400"/>
                      <wp:effectExtent b="0" l="0" r="0" t="0"/>
                      <wp:wrapSquare wrapText="bothSides" distB="0" distT="0" distL="114300" distR="114300"/>
                      <wp:docPr id="5" name=""/>
                      <a:graphic>
                        <a:graphicData uri="http://schemas.microsoft.com/office/word/2010/wordprocessingGroup">
                          <wpg:wgp>
                            <wpg:cNvGrpSpPr/>
                            <wpg:grpSpPr>
                              <a:xfrm>
                                <a:off x="2936493" y="2814483"/>
                                <a:ext cx="4813300" cy="1930400"/>
                                <a:chOff x="2936493" y="2814483"/>
                                <a:chExt cx="4819014" cy="1931035"/>
                              </a:xfrm>
                            </wpg:grpSpPr>
                            <wpg:grpSp>
                              <wpg:cNvGrpSpPr/>
                              <wpg:grpSpPr>
                                <a:xfrm>
                                  <a:off x="2936493" y="2814483"/>
                                  <a:ext cx="4819014" cy="1931035"/>
                                  <a:chOff x="-824901" y="33629"/>
                                  <a:chExt cx="5247408" cy="1846993"/>
                                </a:xfrm>
                              </wpg:grpSpPr>
                              <wps:wsp>
                                <wps:cNvSpPr/>
                                <wps:cNvPr id="3" name="Shape 3"/>
                                <wps:spPr>
                                  <a:xfrm>
                                    <a:off x="-824901" y="33629"/>
                                    <a:ext cx="5247400" cy="1846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11" name="Shape 11"/>
                                <wps:spPr>
                                  <a:xfrm rot="10800000">
                                    <a:off x="-824901" y="33629"/>
                                    <a:ext cx="5247408" cy="176836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12" name="Shape 12"/>
                                <wps:spPr>
                                  <a:xfrm>
                                    <a:off x="1712689" y="1652315"/>
                                    <a:ext cx="849100" cy="228306"/>
                                  </a:xfrm>
                                  <a:prstGeom prst="rect">
                                    <a:avLst/>
                                  </a:prstGeom>
                                  <a:noFill/>
                                  <a:ln>
                                    <a:noFill/>
                                  </a:ln>
                                </wps:spPr>
                                <wps:txbx>
                                  <w:txbxContent>
                                    <w:p w:rsidR="00000000" w:rsidDel="00000000" w:rsidP="00000000" w:rsidRDefault="00000000" w:rsidRPr="00000000">
                                      <w:pPr>
                                        <w:spacing w:after="20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Test Area</w:t>
                                      </w:r>
                                    </w:p>
                                  </w:txbxContent>
                                </wps:txbx>
                                <wps:bodyPr anchorCtr="0" anchor="t" bIns="45700" lIns="91425" rIns="91425" wrap="square" tIns="45700"/>
                              </wps:wsp>
                              <wps:wsp>
                                <wps:cNvSpPr/>
                                <wps:cNvPr id="13" name="Shape 13"/>
                                <wps:spPr>
                                  <a:xfrm flipH="1" rot="-5400000">
                                    <a:off x="2003415" y="772000"/>
                                    <a:ext cx="229234" cy="1600199"/>
                                  </a:xfrm>
                                  <a:prstGeom prst="rightBrace">
                                    <a:avLst>
                                      <a:gd fmla="val 8333" name="adj1"/>
                                      <a:gd fmla="val 50000" name="adj2"/>
                                    </a:avLst>
                                  </a:prstGeom>
                                  <a:noFill/>
                                  <a:ln cap="flat" cmpd="sng" w="25400">
                                    <a:solidFill>
                                      <a:schemeClr val="accent1"/>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g:grpSp>
                          </wpg:wgp>
                        </a:graphicData>
                      </a:graphic>
                    </wp:anchor>
                  </w:drawing>
                </mc:Choice>
                <mc:Fallback>
                  <w:drawing>
                    <wp:anchor allowOverlap="1" behindDoc="0" distB="0" distT="0" distL="114300" distR="114300" hidden="0" layoutInCell="1" locked="0" relativeHeight="0" simplePos="0">
                      <wp:simplePos x="0" y="0"/>
                      <wp:positionH relativeFrom="margin">
                        <wp:posOffset>711200</wp:posOffset>
                      </wp:positionH>
                      <wp:positionV relativeFrom="paragraph">
                        <wp:posOffset>-546099</wp:posOffset>
                      </wp:positionV>
                      <wp:extent cx="4813300" cy="1930400"/>
                      <wp:effectExtent b="0" l="0" r="0" t="0"/>
                      <wp:wrapSquare wrapText="bothSides" distB="0" distT="0" distL="114300" distR="114300"/>
                      <wp:docPr id="5"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4813300" cy="1930400"/>
                              </a:xfrm>
                              <a:prstGeom prst="rect"/>
                              <a:ln/>
                            </pic:spPr>
                          </pic:pic>
                        </a:graphicData>
                      </a:graphic>
                    </wp:anchor>
                  </w:drawing>
                </mc:Fallback>
              </mc:AlternateContent>
            </w:r>
          </w:p>
        </w:tc>
      </w:tr>
      <w:tr>
        <w:tc>
          <w:tcPr/>
          <w:p w:rsidR="00000000" w:rsidDel="00000000" w:rsidP="00000000" w:rsidRDefault="00000000" w:rsidRPr="00000000">
            <w:pPr>
              <w:widowControl w:val="0"/>
              <w:spacing w:after="140" w:line="288" w:lineRule="auto"/>
              <w:contextualSpacing w:val="0"/>
              <w:jc w:val="left"/>
              <w:rPr>
                <w:rFonts w:ascii="Times" w:cs="Times" w:eastAsia="Times" w:hAnsi="Times"/>
                <w:sz w:val="18"/>
                <w:szCs w:val="18"/>
                <w:vertAlign w:val="superscript"/>
              </w:rPr>
            </w:pPr>
            <w:bookmarkStart w:colFirst="0" w:colLast="0" w:name="_gjdgxs" w:id="0"/>
            <w:bookmarkEnd w:id="0"/>
            <w:r w:rsidDel="00000000" w:rsidR="00000000" w:rsidRPr="00000000">
              <w:rPr>
                <w:rFonts w:ascii="Arno Pro" w:cs="Arno Pro" w:eastAsia="Arno Pro" w:hAnsi="Arno Pro"/>
                <w:sz w:val="18"/>
                <w:szCs w:val="18"/>
                <w:rtl w:val="0"/>
              </w:rPr>
              <w:t xml:space="preserve">Figure S-1 The Schlieren set-up, and the ray traverse path: The laser beams were expanded and illuminated on the multi-channel chip (M.C.) in the test area, then blocked by the Stop (K) from reaching the camera. As the light deflected from its focal point by changes in the concentration, the beams hit the CCD sensor.</w:t>
            </w:r>
            <w:r w:rsidDel="00000000" w:rsidR="00000000" w:rsidRPr="00000000">
              <w:rPr>
                <w:rtl w:val="0"/>
              </w:rPr>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tl w:val="0"/>
        </w:rPr>
      </w:r>
    </w:p>
    <w:tbl>
      <w:tblPr>
        <w:tblStyle w:val="Table2"/>
        <w:tblW w:w="49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28"/>
        <w:tblGridChange w:id="0">
          <w:tblGrid>
            <w:gridCol w:w="4928"/>
          </w:tblGrid>
        </w:tblGridChange>
      </w:tblGrid>
      <w:tr>
        <w:tc>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Pr>
              <w:drawing>
                <wp:inline distB="0" distT="0" distL="0" distR="0">
                  <wp:extent cx="2857500" cy="2736215"/>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857500" cy="2736215"/>
                          </a:xfrm>
                          <a:prstGeom prst="rect"/>
                          <a:ln/>
                        </pic:spPr>
                      </pic:pic>
                    </a:graphicData>
                  </a:graphic>
                </wp:inline>
              </w:drawing>
            </w:r>
            <w:r w:rsidDel="00000000" w:rsidR="00000000" w:rsidRPr="00000000">
              <w:rPr>
                <w:rtl w:val="0"/>
              </w:rPr>
            </w:r>
          </w:p>
        </w:tc>
      </w:tr>
      <w:tr>
        <w:tc>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bookmarkStart w:colFirst="0" w:colLast="0" w:name="_30j0zll" w:id="1"/>
            <w:bookmarkEnd w:id="1"/>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Figure S-2 Multi-channel chip in Schlieren test area: (1) the chip with electrode comb (2) xy-axis 2D adjustment (3) connectors to the high power supply (4) plastic tube to remove the electrolyte by vacuum (5) micro-syringes for sample introduction.</w:t>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A CCD camera captured images. Lenses 1 and 2 were 5-cm-diameter, with 7.5-cm and 2.5-cm focal lengths, respectively. The third lens was a 2.5-cm-diameter plano-convex lens that converged the beams passing through the Stop plate on the CCD sensor. The specific characteristics of laser, such as its monochromaticity, intensity, and coherence, make it a proper choice for this study. However, the light intensity of the laser beam is at its maximum in the middle, and decreasing as it gets further from the center, which results in a Gaussian distribution. This inhomogeneity in the beam spot profile was corrected by putting a mechanical aperture in front of the light source, in order to selectively pick from the center of the beam spot. Additionally, a graded neutral density filter was used to minimize inhomogeneity, and attenuate the light intensity to avoid camera saturation.</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laser beam was first expanded to a 5-cm-diameter spot; this allowed covering the view field of the camera, which is illumination of the laser to five channels at the time. The channels experienced different light intensities, according to their position in the laser beam spot.  In order to minimize the inconsistencies caused by this situation, the experimental region was limited to the center of the light spot. The mechanical aperture provides illumination to the desired channel/channels by adjusting the pinhole size.</w:t>
        <w:tab/>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CE Techniques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Capillary Isoelectric Focusing; Static Mode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effective separation path length was 5 cm in the capillary, and 3 cm in the channel. The capillary dimension was 100 </w:t>
      </w:r>
      <w:r w:rsidDel="00000000" w:rsidR="00000000" w:rsidRPr="00000000">
        <w:rPr>
          <w:rFonts w:ascii="Noto Sans Symbols" w:cs="Noto Sans Symbols" w:eastAsia="Noto Sans Symbols" w:hAnsi="Noto Sans Symbols"/>
          <w:b w:val="0"/>
          <w:i w:val="0"/>
          <w:smallCaps w:val="0"/>
          <w:strike w:val="0"/>
          <w:color w:val="000000"/>
          <w:sz w:val="19"/>
          <w:szCs w:val="19"/>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 ID, and 200 </w:t>
      </w:r>
      <w:r w:rsidDel="00000000" w:rsidR="00000000" w:rsidRPr="00000000">
        <w:rPr>
          <w:rFonts w:ascii="Noto Sans Symbols" w:cs="Noto Sans Symbols" w:eastAsia="Noto Sans Symbols" w:hAnsi="Noto Sans Symbols"/>
          <w:b w:val="0"/>
          <w:i w:val="0"/>
          <w:smallCaps w:val="0"/>
          <w:strike w:val="0"/>
          <w:color w:val="000000"/>
          <w:sz w:val="19"/>
          <w:szCs w:val="19"/>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 OD with fluorocarbon internal coating. Channel C was a square duct with a 100 </w:t>
      </w:r>
      <w:r w:rsidDel="00000000" w:rsidR="00000000" w:rsidRPr="00000000">
        <w:rPr>
          <w:rFonts w:ascii="Noto Sans Symbols" w:cs="Noto Sans Symbols" w:eastAsia="Noto Sans Symbols" w:hAnsi="Noto Sans Symbols"/>
          <w:b w:val="0"/>
          <w:i w:val="0"/>
          <w:smallCaps w:val="0"/>
          <w:strike w:val="0"/>
          <w:color w:val="000000"/>
          <w:sz w:val="19"/>
          <w:szCs w:val="19"/>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 width. Sodium hydroxide (100 mM) and phosphoric acid (100 mM) were used as the catholyte and anolyte, respectively. The sample mixture contains a 0.5 </w:t>
      </w:r>
      <m:oMath>
        <m:f>
          <m:fPr>
            <m:ctrlPr>
              <w:rPr>
                <w:rFonts w:ascii="Cambria Math" w:cs="Cambria Math" w:eastAsia="Cambria Math" w:hAnsi="Cambria Math"/>
                <w:b w:val="0"/>
                <w:i w:val="0"/>
                <w:smallCaps w:val="0"/>
                <w:strike w:val="0"/>
                <w:color w:val="000000"/>
                <w:sz w:val="19"/>
                <w:szCs w:val="19"/>
                <w:u w:val="none"/>
                <w:shd w:fill="auto" w:val="clear"/>
                <w:vertAlign w:val="baseline"/>
              </w:rPr>
            </m:ctrlPr>
          </m:fPr>
          <m:num>
            <m:r>
              <w:rPr>
                <w:rFonts w:ascii="Cambria Math" w:cs="Cambria Math" w:eastAsia="Cambria Math" w:hAnsi="Cambria Math"/>
                <w:b w:val="0"/>
                <w:i w:val="0"/>
                <w:smallCaps w:val="0"/>
                <w:strike w:val="0"/>
                <w:color w:val="000000"/>
                <w:sz w:val="19"/>
                <w:szCs w:val="19"/>
                <w:u w:val="none"/>
                <w:shd w:fill="auto" w:val="clear"/>
                <w:vertAlign w:val="baseline"/>
              </w:rPr>
              <m:t xml:space="preserve">mg</m:t>
            </m:r>
          </m:num>
          <m:den>
            <m:r>
              <w:rPr>
                <w:rFonts w:ascii="Cambria Math" w:cs="Cambria Math" w:eastAsia="Cambria Math" w:hAnsi="Cambria Math"/>
                <w:b w:val="0"/>
                <w:i w:val="0"/>
                <w:smallCaps w:val="0"/>
                <w:strike w:val="0"/>
                <w:color w:val="000000"/>
                <w:sz w:val="19"/>
                <w:szCs w:val="19"/>
                <w:u w:val="none"/>
                <w:shd w:fill="auto" w:val="clear"/>
                <w:vertAlign w:val="baseline"/>
              </w:rPr>
              <m:t xml:space="preserve">mL</m:t>
            </m:r>
          </m:den>
        </m:f>
      </m:oMath>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 myoglobin, 0.35% </w:t>
      </w:r>
      <w:r w:rsidDel="00000000" w:rsidR="00000000" w:rsidRPr="00000000">
        <w:rPr>
          <w:rFonts w:ascii="Arno Pro" w:cs="Arno Pro" w:eastAsia="Arno Pro" w:hAnsi="Arno Pro"/>
          <w:b w:val="0"/>
          <w:i w:val="0"/>
          <w:smallCaps w:val="0"/>
          <w:strike w:val="0"/>
          <w:color w:val="000000"/>
          <w:sz w:val="16"/>
          <w:szCs w:val="16"/>
          <w:u w:val="none"/>
          <w:shd w:fill="auto" w:val="clear"/>
          <w:vertAlign w:val="baseline"/>
          <w:rtl w:val="0"/>
        </w:rPr>
        <w:t xml:space="preserve">w/v </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methylcellulose, 2% </w:t>
      </w:r>
      <w:r w:rsidDel="00000000" w:rsidR="00000000" w:rsidRPr="00000000">
        <w:rPr>
          <w:rFonts w:ascii="Arno Pro" w:cs="Arno Pro" w:eastAsia="Arno Pro" w:hAnsi="Arno Pro"/>
          <w:b w:val="0"/>
          <w:i w:val="0"/>
          <w:smallCaps w:val="0"/>
          <w:strike w:val="0"/>
          <w:color w:val="000000"/>
          <w:sz w:val="16"/>
          <w:szCs w:val="16"/>
          <w:u w:val="none"/>
          <w:shd w:fill="auto" w:val="clear"/>
          <w:vertAlign w:val="baseline"/>
          <w:rtl w:val="0"/>
        </w:rPr>
        <w:t xml:space="preserve">v/v </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Pharmalyte 3-10 and 6-8. The focusing was performed at 1.5 kV for 2 min, followed by 3 kV until it reached a stable focusing, which often took less than 10 min in total. In this mode, the sample components are separated based on their isoelectric points and the diffusion process is recorded statically, that is, in the absence of an electric field or any other driving force.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Moving Boundary Electrophoresis; Dynamic Mode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whole system was mounted in the testing region of the Schlieren set-up. All samples were dissolved in buffers before use. Tryptophan 1 </w:t>
      </w:r>
      <w:r w:rsidDel="00000000" w:rsidR="00000000" w:rsidRPr="00000000">
        <w:rPr>
          <w:rFonts w:ascii="Arno Pro" w:cs="Arno Pro" w:eastAsia="Arno Pro" w:hAnsi="Arno Pro"/>
          <w:b w:val="0"/>
          <w:i w:val="0"/>
          <w:smallCaps w:val="0"/>
          <w:strike w:val="0"/>
          <w:color w:val="000000"/>
          <w:sz w:val="16"/>
          <w:szCs w:val="16"/>
          <w:u w:val="none"/>
          <w:shd w:fill="auto" w:val="clear"/>
          <w:vertAlign w:val="baseline"/>
          <w:rtl w:val="0"/>
        </w:rPr>
        <w:t xml:space="preserve">mg/ml </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in borate buffer (50 mM, pH 10), and BSA 1 </w:t>
      </w:r>
      <w:r w:rsidDel="00000000" w:rsidR="00000000" w:rsidRPr="00000000">
        <w:rPr>
          <w:rFonts w:ascii="Arno Pro" w:cs="Arno Pro" w:eastAsia="Arno Pro" w:hAnsi="Arno Pro"/>
          <w:b w:val="0"/>
          <w:i w:val="0"/>
          <w:smallCaps w:val="0"/>
          <w:strike w:val="0"/>
          <w:color w:val="000000"/>
          <w:sz w:val="16"/>
          <w:szCs w:val="16"/>
          <w:u w:val="none"/>
          <w:shd w:fill="auto" w:val="clear"/>
          <w:vertAlign w:val="baseline"/>
          <w:rtl w:val="0"/>
        </w:rPr>
        <w:t xml:space="preserve">mg/ml </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in phosphate buffer (40 mM, pH 2.5), were used as samples. Basically, no separation happens in this mode and the dispersion of the moving front is dynamically recorded to estimate the molecular diffusion coefficient. First, each reservoir and the desired channels were filled with buffer.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bookmarkStart w:colFirst="0" w:colLast="0" w:name="_1fob9te" w:id="2"/>
      <w:bookmarkEnd w:id="2"/>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capillary cartridge was conditioned with 0.5% </w:t>
      </w:r>
      <w:r w:rsidDel="00000000" w:rsidR="00000000" w:rsidRPr="00000000">
        <w:rPr>
          <w:rFonts w:ascii="Arno Pro" w:cs="Arno Pro" w:eastAsia="Arno Pro" w:hAnsi="Arno Pro"/>
          <w:b w:val="0"/>
          <w:i w:val="0"/>
          <w:smallCaps w:val="0"/>
          <w:strike w:val="0"/>
          <w:color w:val="000000"/>
          <w:sz w:val="16"/>
          <w:szCs w:val="16"/>
          <w:u w:val="none"/>
          <w:shd w:fill="auto" w:val="clear"/>
          <w:vertAlign w:val="baseline"/>
          <w:rtl w:val="0"/>
        </w:rPr>
        <w:t xml:space="preserve">w/v </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methylcellulose solution to minimize the EOF, whereas the polymeric channels on the chip were merely flushed with water between runs. Protein adsorption to the channel walls was investigated with this chip, showing negligible wall interaction. Due to their hydrophobic nature, plastic microchips, especially COC chips, have very low EOF rates. Since the COC linear channel is resistant to a wide range of polar solvents and molecules, it is almost inert, avoiding electroosmotic flow. However, the EOF is not necessarily zero. Having negligible wall interaction, the polymeric chip is suitable for performing IEF without conditioning the column.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Chip Specifications and Configurations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Basically the chip comprises three layers, and an additional photo-mask layer was attached at the bottom: 1) Top layer: a rigid polymer containing electrolyte reservoir and through holes between the electrolyte reservoirs and separation channel, with slide standard ports 2) Middle &amp; bottom layers: parallel separation channels, and a rigid polymer foundation 3) Photo-mask layer: black glass sheet with slits aligned with the channels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In contrast to the conventional metal slit that is used in commercial capillary cartridges to avoid stray light, which is expensive and tedious to align in the case of capillary arrays, the photo-mask layer boasts the inherent advantage of aligning the slit layer to parallel channels in one step. The pattern of the slide is plotted by AutoCAD software and printed as a photo-mask by the Front Range Photo Mask Company in USA. This layer was aligned with channels and attached to the bottom of the slide, using epoxy glue, under the microscope. The ease of this one-step multiple alignment, together with the lower cost of purchase in comparison to the metal slit for UV-detection method, are worthy of note. The Pt. electrodes of the instrument were also replaced with longer ones to reach the newly designed reservoirs.  A membrane was needed to facilitate the electrolyte ion passage. The membrane was provided in the form of a nitrocellulose hollow fiber, which was inserted between two pieces of fused silica capillary. The shorter capillary piece, in contact with the channel port, was 6 mm long that comprised the connector fused silica capillaries on either side of the channel to the 18 mm long channel, making a separation column 3 cm long in total, with a 1.8 cm effective length of channel as the detection window. Using a standard thinXXS Adaptor that was drilled by the machine shop at University of Waterloo to accommodate a fused silica capillary, this adapter was mechanically joined with the COC slide. A micropipette tip of 100</w:t>
      </w:r>
      <w:r w:rsidDel="00000000" w:rsidR="00000000" w:rsidRPr="00000000">
        <w:rPr>
          <w:rFonts w:ascii="Noto Sans Symbols" w:cs="Noto Sans Symbols" w:eastAsia="Noto Sans Symbols" w:hAnsi="Noto Sans Symbols"/>
          <w:b w:val="0"/>
          <w:i w:val="0"/>
          <w:smallCaps w:val="0"/>
          <w:strike w:val="0"/>
          <w:color w:val="000000"/>
          <w:sz w:val="19"/>
          <w:szCs w:val="19"/>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L capacity was glued on top of the standard port. A metal slit of 100 </w:t>
      </w:r>
      <w:r w:rsidDel="00000000" w:rsidR="00000000" w:rsidRPr="00000000">
        <w:rPr>
          <w:rFonts w:ascii="Noto Sans Symbols" w:cs="Noto Sans Symbols" w:eastAsia="Noto Sans Symbols" w:hAnsi="Noto Sans Symbols"/>
          <w:b w:val="0"/>
          <w:i w:val="0"/>
          <w:smallCaps w:val="0"/>
          <w:strike w:val="0"/>
          <w:color w:val="000000"/>
          <w:sz w:val="19"/>
          <w:szCs w:val="19"/>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 wide was aligned to channel C to stop stray light.</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capillary-to-chip interface was important from the viewpoint of the dead volume, which affected the reproducibility and proper formation of the pH gradient. Using the connector directly to the inlet result in an empty space, which was modified in order to avoid dead-volume- associated issues. The interface was a connector, which was manipulated utilizing an attached micropipette tapered tip, providing a modified sealed connection to minimize dead volume issues.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Data Acquisition Setting</w:t>
      </w:r>
    </w:p>
    <w:tbl>
      <w:tblPr>
        <w:tblStyle w:val="Table3"/>
        <w:tblW w:w="4928.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28"/>
        <w:tblGridChange w:id="0">
          <w:tblGrid>
            <w:gridCol w:w="4928"/>
          </w:tblGrid>
        </w:tblGridChange>
      </w:tblGrid>
      <w:tr>
        <w:tc>
          <w:tcPr>
            <w:vAlign w:val="center"/>
          </w:tcPr>
          <w:p w:rsidR="00000000" w:rsidDel="00000000" w:rsidP="00000000" w:rsidRDefault="00000000" w:rsidRPr="00000000">
            <w:pPr>
              <w:contextualSpacing w:val="0"/>
              <w:rPr/>
            </w:pPr>
            <w:r w:rsidDel="00000000" w:rsidR="00000000" w:rsidRPr="00000000">
              <w:rPr>
                <w:rFonts w:ascii="Times New Roman" w:cs="Times New Roman" w:eastAsia="Times New Roman" w:hAnsi="Times New Roman"/>
              </w:rPr>
              <mc:AlternateContent>
                <mc:Choice Requires="wpg">
                  <w:drawing>
                    <wp:inline distB="0" distT="0" distL="0" distR="0">
                      <wp:extent cx="2857500" cy="1905000"/>
                      <wp:effectExtent b="0" l="0" r="0" t="0"/>
                      <wp:docPr id="6" name=""/>
                      <a:graphic>
                        <a:graphicData uri="http://schemas.microsoft.com/office/word/2010/wordprocessingGroup">
                          <wpg:wgp>
                            <wpg:cNvGrpSpPr/>
                            <wpg:grpSpPr>
                              <a:xfrm>
                                <a:off x="3917250" y="2822419"/>
                                <a:ext cx="2857500" cy="1905000"/>
                                <a:chOff x="3917250" y="2822419"/>
                                <a:chExt cx="2857499" cy="1915159"/>
                              </a:xfrm>
                            </wpg:grpSpPr>
                            <wpg:grpSp>
                              <wpg:cNvGrpSpPr/>
                              <wpg:grpSpPr>
                                <a:xfrm>
                                  <a:off x="3917250" y="2822419"/>
                                  <a:ext cx="2857499" cy="1915159"/>
                                  <a:chOff x="0" y="0"/>
                                  <a:chExt cx="3086100" cy="1981834"/>
                                </a:xfrm>
                              </wpg:grpSpPr>
                              <wps:wsp>
                                <wps:cNvSpPr/>
                                <wps:cNvPr id="3" name="Shape 3"/>
                                <wps:spPr>
                                  <a:xfrm>
                                    <a:off x="0" y="0"/>
                                    <a:ext cx="3086100" cy="1981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15" name="Shape 15"/>
                                <wps:spPr>
                                  <a:xfrm>
                                    <a:off x="1600200" y="0"/>
                                    <a:ext cx="1485899" cy="824229"/>
                                  </a:xfrm>
                                  <a:prstGeom prst="rect">
                                    <a:avLst/>
                                  </a:prstGeom>
                                  <a:noFill/>
                                  <a:ln cap="flat" cmpd="sng" w="9525">
                                    <a:solidFill>
                                      <a:srgbClr val="4F81BD"/>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16" name="Shape 16"/>
                                <wps:spPr>
                                  <a:xfrm>
                                    <a:off x="0" y="0"/>
                                    <a:ext cx="1503045" cy="814704"/>
                                  </a:xfrm>
                                  <a:prstGeom prst="rect">
                                    <a:avLst/>
                                  </a:prstGeom>
                                  <a:noFill/>
                                  <a:ln cap="flat" cmpd="sng" w="9525">
                                    <a:solidFill>
                                      <a:srgbClr val="4F81BD"/>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17" name="Shape 17"/>
                                <wps:spPr>
                                  <a:xfrm>
                                    <a:off x="0" y="914400"/>
                                    <a:ext cx="3086099" cy="1067434"/>
                                  </a:xfrm>
                                  <a:prstGeom prst="rect">
                                    <a:avLst/>
                                  </a:prstGeom>
                                  <a:noFill/>
                                  <a:ln cap="flat" cmpd="sng" w="9525">
                                    <a:solidFill>
                                      <a:srgbClr val="4F81BD"/>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g:grpSp>
                          </wpg:wgp>
                        </a:graphicData>
                      </a:graphic>
                    </wp:inline>
                  </w:drawing>
                </mc:Choice>
                <mc:Fallback>
                  <w:drawing>
                    <wp:inline distB="0" distT="0" distL="0" distR="0">
                      <wp:extent cx="2857500" cy="1905000"/>
                      <wp:effectExtent b="0" l="0" r="0" t="0"/>
                      <wp:docPr id="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2857500" cy="1905000"/>
                              </a:xfrm>
                              <a:prstGeom prst="rect"/>
                              <a:ln/>
                            </pic:spPr>
                          </pic:pic>
                        </a:graphicData>
                      </a:graphic>
                    </wp:inline>
                  </w:drawing>
                </mc:Fallback>
              </mc:AlternateContent>
            </w:r>
            <w:r w:rsidDel="00000000" w:rsidR="00000000" w:rsidRPr="00000000">
              <w:rPr>
                <w:rtl w:val="0"/>
              </w:rPr>
            </w:r>
          </w:p>
        </w:tc>
      </w:tr>
      <w:tr>
        <w:tc>
          <w:tcPr>
            <w:vAlign w:val="center"/>
          </w:tcPr>
          <w:p w:rsidR="00000000" w:rsidDel="00000000" w:rsidP="00000000" w:rsidRDefault="00000000" w:rsidRPr="00000000">
            <w:pPr>
              <w:contextualSpacing w:val="0"/>
              <w:rPr>
                <w:rFonts w:ascii="Times New Roman" w:cs="Times New Roman" w:eastAsia="Times New Roman" w:hAnsi="Times New Roman"/>
              </w:rPr>
            </w:pPr>
            <w:r w:rsidDel="00000000" w:rsidR="00000000" w:rsidRPr="00000000">
              <w:rPr>
                <w:rFonts w:ascii="Arno Pro" w:cs="Arno Pro" w:eastAsia="Arno Pro" w:hAnsi="Arno Pro"/>
                <w:sz w:val="18"/>
                <w:szCs w:val="18"/>
                <w:rtl w:val="0"/>
              </w:rPr>
              <w:t xml:space="preserve">Figure S-3 The prototype COC slide layout, and modifications.  The slide with a footprint of 7.5 x 2.5 (cm</w:t>
            </w:r>
            <w:r w:rsidDel="00000000" w:rsidR="00000000" w:rsidRPr="00000000">
              <w:rPr>
                <w:rFonts w:ascii="Arno Pro" w:cs="Arno Pro" w:eastAsia="Arno Pro" w:hAnsi="Arno Pro"/>
                <w:sz w:val="18"/>
                <w:szCs w:val="18"/>
                <w:vertAlign w:val="superscript"/>
                <w:rtl w:val="0"/>
              </w:rPr>
              <w:t xml:space="preserve">2</w:t>
            </w:r>
            <w:r w:rsidDel="00000000" w:rsidR="00000000" w:rsidRPr="00000000">
              <w:rPr>
                <w:rFonts w:ascii="Arno Pro" w:cs="Arno Pro" w:eastAsia="Arno Pro" w:hAnsi="Arno Pro"/>
                <w:sz w:val="18"/>
                <w:szCs w:val="18"/>
                <w:rtl w:val="0"/>
              </w:rPr>
              <w:t xml:space="preserve">) has 8 short channels of 18mm with different cross sectional areas. Photo-mask layer: black glass sheet with slits aligned with the channels. Electrode comb: a set of Pt wires to establish simultaneous electric field. </w:t>
            </w:r>
            <w:r w:rsidDel="00000000" w:rsidR="00000000" w:rsidRPr="00000000">
              <w:rPr>
                <w:rtl w:val="0"/>
              </w:rPr>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Movies were obtained by sequential display of the frames recorded at specific intervals. The minimum time required for an acquisition depends on a number of factors, including the exposure time, number of accumulations, kinetic series length, and the kinetic cycle time. These parameters were defined and set to the following values for all MBE/Schlieren experiments:</w:t>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contextualSpacing w:val="0"/>
        <w:jc w:val="both"/>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Exposure time: the time interval during which the camera collects light for a single scan (Set to 0.1 sec).</w:t>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contextualSpacing w:val="0"/>
        <w:jc w:val="both"/>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Number of accumulation: the number of scans that are added (or averaged) to produce a single frame of the processed data series (Set to 3).</w:t>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contextualSpacing w:val="0"/>
        <w:jc w:val="both"/>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Kinetic series length: the number of frames in the entire data series (Set to 100-150).</w:t>
      </w:r>
    </w:p>
    <w:p w:rsidR="00000000" w:rsidDel="00000000" w:rsidP="00000000" w:rsidRDefault="00000000" w:rsidRPr="0000000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contextualSpacing w:val="0"/>
        <w:jc w:val="both"/>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Kinetic cycle time: the time interval between the frames (Equal to 1 sec.).</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data was collected in a kinetic series with 100 scans; each scan consisted of three accumulations with 0.3 sec cycle, hence the frequency of 0.98 Hz was obtained, which equals to 1 frame per second.</w:t>
      </w:r>
    </w:p>
    <w:tbl>
      <w:tblPr>
        <w:tblStyle w:val="Table4"/>
        <w:tblW w:w="5669.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69"/>
        <w:tblGridChange w:id="0">
          <w:tblGrid>
            <w:gridCol w:w="5669"/>
          </w:tblGrid>
        </w:tblGridChange>
      </w:tblGrid>
      <w:tr>
        <w:tc>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margin">
                        <wp:posOffset>-647699</wp:posOffset>
                      </wp:positionH>
                      <wp:positionV relativeFrom="paragraph">
                        <wp:posOffset>114300</wp:posOffset>
                      </wp:positionV>
                      <wp:extent cx="3454400" cy="2286000"/>
                      <wp:effectExtent b="0" l="0" r="0" t="0"/>
                      <wp:wrapSquare wrapText="bothSides" distB="0" distT="0" distL="114300" distR="114300"/>
                      <wp:docPr id="3" name=""/>
                      <a:graphic>
                        <a:graphicData uri="http://schemas.microsoft.com/office/word/2010/wordprocessingGroup">
                          <wpg:wgp>
                            <wpg:cNvGrpSpPr/>
                            <wpg:grpSpPr>
                              <a:xfrm>
                                <a:off x="3614673" y="2630967"/>
                                <a:ext cx="3454400" cy="2286000"/>
                                <a:chOff x="3614673" y="2630967"/>
                                <a:chExt cx="3462654" cy="2298064"/>
                              </a:xfrm>
                            </wpg:grpSpPr>
                            <wpg:grpSp>
                              <wpg:cNvGrpSpPr/>
                              <wpg:grpSpPr>
                                <a:xfrm>
                                  <a:off x="3614673" y="2630967"/>
                                  <a:ext cx="3462654" cy="2298064"/>
                                  <a:chOff x="0" y="0"/>
                                  <a:chExt cx="3462911" cy="2298287"/>
                                </a:xfrm>
                              </wpg:grpSpPr>
                              <wps:wsp>
                                <wps:cNvSpPr/>
                                <wps:cNvPr id="3" name="Shape 3"/>
                                <wps:spPr>
                                  <a:xfrm>
                                    <a:off x="0" y="0"/>
                                    <a:ext cx="3462900" cy="2298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4" name="Shape 4"/>
                                <wps:spPr>
                                  <a:xfrm>
                                    <a:off x="100586" y="0"/>
                                    <a:ext cx="3362324" cy="213105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wrap="square" tIns="91425"/>
                              </wps:wsp>
                              <wps:wsp>
                                <wps:cNvSpPr/>
                                <wps:cNvPr id="5" name="Shape 5"/>
                                <wps:spPr>
                                  <a:xfrm>
                                    <a:off x="290057" y="2026508"/>
                                    <a:ext cx="1254125" cy="271779"/>
                                  </a:xfrm>
                                  <a:prstGeom prst="rect">
                                    <a:avLst/>
                                  </a:prstGeom>
                                  <a:noFill/>
                                  <a:ln>
                                    <a:noFill/>
                                  </a:ln>
                                </wps:spPr>
                                <wps:txbx>
                                  <w:txbxContent>
                                    <w:p w:rsidR="00000000" w:rsidDel="00000000" w:rsidP="00000000" w:rsidRDefault="00000000" w:rsidRPr="00000000">
                                      <w:pPr>
                                        <w:spacing w:after="200" w:before="0" w:line="240"/>
                                        <w:ind w:left="0" w:right="0" w:firstLine="0"/>
                                        <w:jc w:val="both"/>
                                        <w:textDirection w:val="btLr"/>
                                      </w:pPr>
                                      <w:r w:rsidDel="00000000" w:rsidR="00000000" w:rsidRPr="00000000">
                                        <w:rPr>
                                          <w:rFonts w:ascii="Times" w:cs="Times" w:eastAsia="Times" w:hAnsi="Times"/>
                                          <w:b w:val="0"/>
                                          <w:i w:val="0"/>
                                          <w:smallCaps w:val="0"/>
                                          <w:strike w:val="0"/>
                                          <w:color w:val="000000"/>
                                          <w:sz w:val="15"/>
                                          <w:vertAlign w:val="baseline"/>
                                        </w:rPr>
                                        <w:t xml:space="preserve">Distance from anode (pixel)</w:t>
                                      </w:r>
                                    </w:p>
                                  </w:txbxContent>
                                </wps:txbx>
                                <wps:bodyPr anchorCtr="0" anchor="t" bIns="45700" lIns="91425" rIns="91425" wrap="square" tIns="45700"/>
                              </wps:wsp>
                              <wps:wsp>
                                <wps:cNvSpPr/>
                                <wps:cNvPr id="6" name="Shape 6"/>
                                <wps:spPr>
                                  <a:xfrm>
                                    <a:off x="2028241" y="2010032"/>
                                    <a:ext cx="1254125" cy="271779"/>
                                  </a:xfrm>
                                  <a:prstGeom prst="rect">
                                    <a:avLst/>
                                  </a:prstGeom>
                                  <a:noFill/>
                                  <a:ln>
                                    <a:noFill/>
                                  </a:ln>
                                </wps:spPr>
                                <wps:txbx>
                                  <w:txbxContent>
                                    <w:p w:rsidR="00000000" w:rsidDel="00000000" w:rsidP="00000000" w:rsidRDefault="00000000" w:rsidRPr="00000000">
                                      <w:pPr>
                                        <w:spacing w:after="200" w:before="0" w:line="240"/>
                                        <w:ind w:left="0" w:right="0" w:firstLine="0"/>
                                        <w:jc w:val="both"/>
                                        <w:textDirection w:val="btLr"/>
                                      </w:pPr>
                                      <w:r w:rsidDel="00000000" w:rsidR="00000000" w:rsidRPr="00000000">
                                        <w:rPr>
                                          <w:rFonts w:ascii="Times" w:cs="Times" w:eastAsia="Times" w:hAnsi="Times"/>
                                          <w:b w:val="0"/>
                                          <w:i w:val="0"/>
                                          <w:smallCaps w:val="0"/>
                                          <w:strike w:val="0"/>
                                          <w:color w:val="000000"/>
                                          <w:sz w:val="15"/>
                                          <w:vertAlign w:val="baseline"/>
                                        </w:rPr>
                                        <w:t xml:space="preserve">Distance from anode (pixel)</w:t>
                                      </w:r>
                                    </w:p>
                                  </w:txbxContent>
                                </wps:txbx>
                                <wps:bodyPr anchorCtr="0" anchor="t" bIns="45700" lIns="91425" rIns="91425" wrap="square" tIns="45700"/>
                              </wps:wsp>
                              <wps:wsp>
                                <wps:cNvSpPr/>
                                <wps:cNvPr id="7" name="Shape 7"/>
                                <wps:spPr>
                                  <a:xfrm rot="-5400000">
                                    <a:off x="-385444" y="873210"/>
                                    <a:ext cx="1019174" cy="248285"/>
                                  </a:xfrm>
                                  <a:prstGeom prst="rect">
                                    <a:avLst/>
                                  </a:prstGeom>
                                  <a:noFill/>
                                  <a:ln>
                                    <a:noFill/>
                                  </a:ln>
                                </wps:spPr>
                                <wps:txbx>
                                  <w:txbxContent>
                                    <w:p w:rsidR="00000000" w:rsidDel="00000000" w:rsidP="00000000" w:rsidRDefault="00000000" w:rsidRPr="00000000">
                                      <w:pPr>
                                        <w:spacing w:after="200" w:before="0" w:line="240"/>
                                        <w:ind w:left="0" w:right="0" w:firstLine="0"/>
                                        <w:jc w:val="both"/>
                                        <w:textDirection w:val="btLr"/>
                                      </w:pPr>
                                      <w:r w:rsidDel="00000000" w:rsidR="00000000" w:rsidRPr="00000000">
                                        <w:rPr>
                                          <w:rFonts w:ascii="Times" w:cs="Times" w:eastAsia="Times" w:hAnsi="Times"/>
                                          <w:b w:val="0"/>
                                          <w:i w:val="0"/>
                                          <w:smallCaps w:val="0"/>
                                          <w:strike w:val="0"/>
                                          <w:color w:val="000000"/>
                                          <w:sz w:val="15"/>
                                          <w:vertAlign w:val="baseline"/>
                                        </w:rPr>
                                        <w:t xml:space="preserve">Absorbance at 280nm</w:t>
                                      </w:r>
                                    </w:p>
                                  </w:txbxContent>
                                </wps:txbx>
                                <wps:bodyPr anchorCtr="0" anchor="t" bIns="45700" lIns="91425" rIns="91425" wrap="square" tIns="45700"/>
                              </wps:wsp>
                              <wps:wsp>
                                <wps:cNvSpPr/>
                                <wps:cNvPr id="8" name="Shape 8"/>
                                <wps:spPr>
                                  <a:xfrm rot="-5400000">
                                    <a:off x="1336263" y="823783"/>
                                    <a:ext cx="1019174" cy="248285"/>
                                  </a:xfrm>
                                  <a:prstGeom prst="rect">
                                    <a:avLst/>
                                  </a:prstGeom>
                                  <a:noFill/>
                                  <a:ln>
                                    <a:noFill/>
                                  </a:ln>
                                </wps:spPr>
                                <wps:txbx>
                                  <w:txbxContent>
                                    <w:p w:rsidR="00000000" w:rsidDel="00000000" w:rsidP="00000000" w:rsidRDefault="00000000" w:rsidRPr="00000000">
                                      <w:pPr>
                                        <w:spacing w:after="200" w:before="0" w:line="240"/>
                                        <w:ind w:left="0" w:right="0" w:firstLine="0"/>
                                        <w:jc w:val="both"/>
                                        <w:textDirection w:val="btLr"/>
                                      </w:pPr>
                                      <w:r w:rsidDel="00000000" w:rsidR="00000000" w:rsidRPr="00000000">
                                        <w:rPr>
                                          <w:rFonts w:ascii="Times" w:cs="Times" w:eastAsia="Times" w:hAnsi="Times"/>
                                          <w:b w:val="0"/>
                                          <w:i w:val="0"/>
                                          <w:smallCaps w:val="0"/>
                                          <w:strike w:val="0"/>
                                          <w:color w:val="000000"/>
                                          <w:sz w:val="15"/>
                                          <w:vertAlign w:val="baseline"/>
                                        </w:rPr>
                                        <w:t xml:space="preserve">Absorbance at 280nm</w:t>
                                      </w:r>
                                    </w:p>
                                  </w:txbxContent>
                                </wps:txbx>
                                <wps:bodyPr anchorCtr="0" anchor="t" bIns="45700" lIns="91425" rIns="91425" wrap="square" tIns="45700"/>
                              </wps:wsp>
                            </wpg:grpSp>
                          </wpg:wgp>
                        </a:graphicData>
                      </a:graphic>
                    </wp:anchor>
                  </w:drawing>
                </mc:Choice>
                <mc:Fallback>
                  <w:drawing>
                    <wp:anchor allowOverlap="1" behindDoc="0" distB="0" distT="0" distL="114300" distR="114300" hidden="0" layoutInCell="1" locked="0" relativeHeight="0" simplePos="0">
                      <wp:simplePos x="0" y="0"/>
                      <wp:positionH relativeFrom="margin">
                        <wp:posOffset>-647699</wp:posOffset>
                      </wp:positionH>
                      <wp:positionV relativeFrom="paragraph">
                        <wp:posOffset>114300</wp:posOffset>
                      </wp:positionV>
                      <wp:extent cx="3454400" cy="2286000"/>
                      <wp:effectExtent b="0" l="0" r="0" t="0"/>
                      <wp:wrapSquare wrapText="bothSides" distB="0" distT="0" distL="114300" distR="114300"/>
                      <wp:docPr id="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454400" cy="2286000"/>
                              </a:xfrm>
                              <a:prstGeom prst="rect"/>
                              <a:ln/>
                            </pic:spPr>
                          </pic:pic>
                        </a:graphicData>
                      </a:graphic>
                    </wp:anchor>
                  </w:drawing>
                </mc:Fallback>
              </mc:AlternateContent>
            </w:r>
          </w:p>
        </w:tc>
      </w:tr>
      <w:tr>
        <w:tc>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bookmarkStart w:colFirst="0" w:colLast="0" w:name="_3znysh7" w:id="3"/>
            <w:bookmarkEnd w:id="3"/>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Figure S-4 Evaluation of the multi-channel chip (D</w:t>
            </w:r>
            <w:r w:rsidDel="00000000" w:rsidR="00000000" w:rsidRPr="00000000">
              <w:rPr>
                <w:rFonts w:ascii="Arno Pro" w:cs="Arno Pro" w:eastAsia="Arno Pro" w:hAnsi="Arno Pro"/>
                <w:b w:val="0"/>
                <w:i w:val="0"/>
                <w:smallCaps w:val="0"/>
                <w:strike w:val="0"/>
                <w:color w:val="000000"/>
                <w:sz w:val="18"/>
                <w:szCs w:val="18"/>
                <w:u w:val="none"/>
                <w:shd w:fill="auto" w:val="clear"/>
                <w:vertAlign w:val="subscript"/>
                <w:rtl w:val="0"/>
              </w:rPr>
              <w:t xml:space="preserve">H</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 Length=3 cm (1.8 cm detection window)) in comparison with commercial capillary cartridge (ID=100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 Length=5 cm), through CIEF experiment of myoglobin isoforms with UV-WCID. Myoglobin pI markers (pI 6.8 and 7.2, 0.5 mg/mL) with a carrier ampholyte at pH gradient 3-10 and 6-8 for the chip and capillary respectively. Applied voltage; 1.5 kV for 2 min, and 3 kV for 7 min.</w:t>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CIEF with UV-WCID</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COC multi-channel chip was examined by CIEF-UV-WCID; different parameters such as reproducibility, resolution, and wall-interaction were compared to those of the commercial capillary cartridge. And properties of the multi-channel slide for chip-based electrophoresis analysis have been investigated by UV whole column imaging detection. Short channels or capillaries are required in order to image the whole separation column. In conventional single point detection, long capillaries are used, and shallow pH gradients are generated as a result. The concern about decrease in resolution due to using short capillary was theoretically addressed by Mao and Pawliszyn </w:t>
      </w:r>
      <w:r w:rsidDel="00000000" w:rsidR="00000000" w:rsidRPr="00000000">
        <w:rPr>
          <w:rFonts w:ascii="Arno Pro" w:cs="Arno Pro" w:eastAsia="Arno Pro" w:hAnsi="Arno Pro"/>
          <w:b w:val="0"/>
          <w:i w:val="0"/>
          <w:smallCaps w:val="0"/>
          <w:strike w:val="0"/>
          <w:color w:val="000000"/>
          <w:sz w:val="19"/>
          <w:szCs w:val="19"/>
          <w:u w:val="none"/>
          <w:shd w:fill="auto" w:val="clear"/>
          <w:vertAlign w:val="superscript"/>
          <w:rtl w:val="0"/>
        </w:rPr>
        <w:t xml:space="preserve">2</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 They have considered concentration of a sample zone focused in a capillary by the isoelectric focusing process as a Gaussian distribution with a variance of σ</w:t>
      </w:r>
      <w:r w:rsidDel="00000000" w:rsidR="00000000" w:rsidRPr="00000000">
        <w:rPr>
          <w:rFonts w:ascii="Arno Pro" w:cs="Arno Pro" w:eastAsia="Arno Pro" w:hAnsi="Arno Pro"/>
          <w:b w:val="0"/>
          <w:i w:val="0"/>
          <w:smallCaps w:val="0"/>
          <w:strike w:val="0"/>
          <w:color w:val="000000"/>
          <w:sz w:val="19"/>
          <w:szCs w:val="19"/>
          <w:u w:val="none"/>
          <w:shd w:fill="auto" w:val="clear"/>
          <w:vertAlign w:val="superscript"/>
          <w:rtl w:val="0"/>
        </w:rPr>
        <w:t xml:space="preserve">2</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 and relate it to the resolution, using the criterion of three times the variance for resolved adjacent peaks. Hence, the resolving power (Δ pI) can be expressed as </w:t>
      </w:r>
      <w:r w:rsidDel="00000000" w:rsidR="00000000" w:rsidRPr="00000000">
        <w:rPr>
          <w:rFonts w:ascii="Arno Pro" w:cs="Arno Pro" w:eastAsia="Arno Pro" w:hAnsi="Arno Pro"/>
          <w:b w:val="0"/>
          <w:i w:val="0"/>
          <w:smallCaps w:val="0"/>
          <w:strike w:val="0"/>
          <w:color w:val="000000"/>
          <w:sz w:val="19"/>
          <w:szCs w:val="19"/>
          <w:u w:val="none"/>
          <w:shd w:fill="auto" w:val="clear"/>
          <w:vertAlign w:val="superscript"/>
          <w:rtl w:val="0"/>
        </w:rPr>
        <w:t xml:space="preserve">3</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 </w:t>
      </w:r>
    </w:p>
    <w:p w:rsidR="00000000" w:rsidDel="00000000" w:rsidP="00000000" w:rsidRDefault="00000000" w:rsidRPr="00000000">
      <w:pPr>
        <w:contextualSpacing w:val="0"/>
        <w:jc w:val="center"/>
        <w:rPr>
          <w:rFonts w:ascii="Cambria Math" w:cs="Cambria Math" w:eastAsia="Cambria Math" w:hAnsi="Cambria Math"/>
          <w:color w:val="000000"/>
        </w:rPr>
      </w:pPr>
      <m:oMathPara>
        <m:oMathParaPr>
          <m:jc m:val="left"/>
        </m:oMathParaPr>
        <m:oMath>
          <m:r>
            <w:rPr>
              <w:rFonts w:ascii="Cambria Math" w:cs="Cambria Math" w:eastAsia="Cambria Math" w:hAnsi="Cambria Math"/>
              <w:color w:val="000000"/>
            </w:rPr>
            <m:t xml:space="preserve">ΔpI=</m:t>
          </m:r>
          <m:rad>
            <m:radPr>
              <m:degHide m:val="1"/>
              <m:ctrlPr>
                <w:rPr>
                  <w:rFonts w:ascii="Cambria Math" w:cs="Cambria Math" w:eastAsia="Cambria Math" w:hAnsi="Cambria Math"/>
                  <w:color w:val="000000"/>
                </w:rPr>
              </m:ctrlPr>
            </m:radPr>
            <m:e>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D</m:t>
                  </m:r>
                </m:num>
                <m:den>
                  <m:r>
                    <w:rPr>
                      <w:rFonts w:ascii="Cambria Math" w:cs="Cambria Math" w:eastAsia="Cambria Math" w:hAnsi="Cambria Math"/>
                      <w:color w:val="000000"/>
                    </w:rPr>
                    <m:t xml:space="preserve">E</m:t>
                  </m:r>
                </m:den>
              </m:f>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d(pH)</m:t>
                  </m:r>
                </m:num>
                <m:den>
                  <m:r>
                    <w:rPr>
                      <w:rFonts w:ascii="Cambria Math" w:cs="Cambria Math" w:eastAsia="Cambria Math" w:hAnsi="Cambria Math"/>
                      <w:color w:val="000000"/>
                    </w:rPr>
                    <m:t xml:space="preserve">-dμ</m:t>
                  </m:r>
                </m:den>
              </m:f>
              <m:f>
                <m:fPr>
                  <m:ctrlPr>
                    <w:rPr>
                      <w:rFonts w:ascii="Cambria Math" w:cs="Cambria Math" w:eastAsia="Cambria Math" w:hAnsi="Cambria Math"/>
                      <w:color w:val="000000"/>
                    </w:rPr>
                  </m:ctrlPr>
                </m:fPr>
                <m:num>
                  <m:r>
                    <w:rPr>
                      <w:rFonts w:ascii="Cambria Math" w:cs="Cambria Math" w:eastAsia="Cambria Math" w:hAnsi="Cambria Math"/>
                      <w:color w:val="000000"/>
                    </w:rPr>
                    <m:t xml:space="preserve">d(pH)</m:t>
                  </m:r>
                </m:num>
                <m:den>
                  <m:r>
                    <w:rPr>
                      <w:rFonts w:ascii="Cambria Math" w:cs="Cambria Math" w:eastAsia="Cambria Math" w:hAnsi="Cambria Math"/>
                      <w:color w:val="000000"/>
                    </w:rPr>
                    <m:t xml:space="preserve">dx</m:t>
                  </m:r>
                </m:den>
              </m:f>
            </m:e>
          </m:rad>
        </m:oMath>
      </m:oMathPara>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equation shows that good resolution (small Δ pI) is obtained by a strong electric field, a low diffusion coefficient, a high mobility slope, </w:t>
      </w:r>
      <m:oMath>
        <m:f>
          <m:fPr>
            <m:ctrlPr>
              <w:rPr>
                <w:rFonts w:ascii="Cambria Math" w:cs="Cambria Math" w:eastAsia="Cambria Math" w:hAnsi="Cambria Math"/>
                <w:b w:val="0"/>
                <w:i w:val="0"/>
                <w:smallCaps w:val="0"/>
                <w:strike w:val="0"/>
                <w:color w:val="000000"/>
                <w:sz w:val="19"/>
                <w:szCs w:val="19"/>
                <w:u w:val="none"/>
                <w:shd w:fill="auto" w:val="clear"/>
                <w:vertAlign w:val="baseline"/>
              </w:rPr>
            </m:ctrlPr>
          </m:fPr>
          <m:num>
            <m:r>
              <w:rPr>
                <w:rFonts w:ascii="Cambria Math" w:cs="Cambria Math" w:eastAsia="Cambria Math" w:hAnsi="Cambria Math"/>
                <w:b w:val="0"/>
                <w:i w:val="0"/>
                <w:smallCaps w:val="0"/>
                <w:strike w:val="0"/>
                <w:color w:val="000000"/>
                <w:sz w:val="19"/>
                <w:szCs w:val="19"/>
                <w:u w:val="none"/>
                <w:shd w:fill="auto" w:val="clear"/>
                <w:vertAlign w:val="baseline"/>
              </w:rPr>
              <m:t xml:space="preserve">dμ</m:t>
            </m:r>
          </m:num>
          <m:den>
            <m:r>
              <w:rPr>
                <w:rFonts w:ascii="Cambria Math" w:cs="Cambria Math" w:eastAsia="Cambria Math" w:hAnsi="Cambria Math"/>
                <w:b w:val="0"/>
                <w:i w:val="0"/>
                <w:smallCaps w:val="0"/>
                <w:strike w:val="0"/>
                <w:color w:val="000000"/>
                <w:sz w:val="19"/>
                <w:szCs w:val="19"/>
                <w:u w:val="none"/>
                <w:shd w:fill="auto" w:val="clear"/>
                <w:vertAlign w:val="baseline"/>
              </w:rPr>
              <m:t xml:space="preserve">d(pH)</m:t>
            </m:r>
          </m:den>
        </m:f>
      </m:oMath>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 , and a narrow pH gradient. Improving the resolution is possible through variation of the field strength and pH gradient, because the diffusion coefficient and the mobility slope are intrinsic properties of the analytes. Efficient heat dissipation is necessary for applying high voltages, which is acquired by employing narrow-bore fused silica capillaries. Therefore, the resolution is independent of the length of the separation column, however considering the Joule heating issue; it is related to the surface-to-volume-ratio of the separation column. Thus, miniaturizing the column can happen without sacrificing resolution in capillary isoelectric focusing. A number of advantages are associated with using a short column; for example, the capillary isoelectric focusing experiment will perform faster in a short column. The whole separation column can be imaged by a charge-coupled device camera detector, which facilitates the study of dynamic processes. Sample consumption will be reduced in a short column, because the mixture of sample and carrier ampholytes usually fills the whole column, and requires a lager amount of the sample in a long column.</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Evaluation of the Multi-channel Chip</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In order to investigate the resolving capability of the chip, a mixture of two myoglobin pI markers (pI 6.8 and 7.2, 0.5 </w:t>
      </w:r>
      <m:oMath>
        <m:f>
          <m:fPr>
            <m:ctrlPr>
              <w:rPr>
                <w:rFonts w:ascii="Cambria Math" w:cs="Cambria Math" w:eastAsia="Cambria Math" w:hAnsi="Cambria Math"/>
                <w:b w:val="0"/>
                <w:i w:val="0"/>
                <w:smallCaps w:val="0"/>
                <w:strike w:val="0"/>
                <w:color w:val="000000"/>
                <w:sz w:val="19"/>
                <w:szCs w:val="19"/>
                <w:u w:val="none"/>
                <w:shd w:fill="auto" w:val="clear"/>
                <w:vertAlign w:val="baseline"/>
              </w:rPr>
            </m:ctrlPr>
          </m:fPr>
          <m:num>
            <m:r>
              <w:rPr>
                <w:rFonts w:ascii="Cambria Math" w:cs="Cambria Math" w:eastAsia="Cambria Math" w:hAnsi="Cambria Math"/>
                <w:b w:val="0"/>
                <w:i w:val="0"/>
                <w:smallCaps w:val="0"/>
                <w:strike w:val="0"/>
                <w:color w:val="000000"/>
                <w:sz w:val="19"/>
                <w:szCs w:val="19"/>
                <w:u w:val="none"/>
                <w:shd w:fill="auto" w:val="clear"/>
                <w:vertAlign w:val="baseline"/>
              </w:rPr>
              <m:t xml:space="preserve">mg</m:t>
            </m:r>
          </m:num>
          <m:den>
            <m:r>
              <w:rPr>
                <w:rFonts w:ascii="Cambria Math" w:cs="Cambria Math" w:eastAsia="Cambria Math" w:hAnsi="Cambria Math"/>
                <w:b w:val="0"/>
                <w:i w:val="0"/>
                <w:smallCaps w:val="0"/>
                <w:strike w:val="0"/>
                <w:color w:val="000000"/>
                <w:sz w:val="19"/>
                <w:szCs w:val="19"/>
                <w:u w:val="none"/>
                <w:shd w:fill="auto" w:val="clear"/>
                <w:vertAlign w:val="baseline"/>
              </w:rPr>
              <m:t xml:space="preserve">mL</m:t>
            </m:r>
          </m:den>
        </m:f>
      </m:oMath>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with a carrier ampholyte at pH gradient range from 6 to 8 was introduced into the separation channel that generates the pH gradient of </w:t>
      </w:r>
      <m:oMath>
        <m:f>
          <m:fPr>
            <m:ctrlPr>
              <w:rPr>
                <w:rFonts w:ascii="Cambria Math" w:cs="Cambria Math" w:eastAsia="Cambria Math" w:hAnsi="Cambria Math"/>
                <w:b w:val="0"/>
                <w:i w:val="0"/>
                <w:smallCaps w:val="0"/>
                <w:strike w:val="0"/>
                <w:color w:val="000000"/>
                <w:sz w:val="19"/>
                <w:szCs w:val="19"/>
                <w:u w:val="none"/>
                <w:shd w:fill="auto" w:val="clear"/>
                <w:vertAlign w:val="baseline"/>
              </w:rPr>
            </m:ctrlPr>
          </m:fPr>
          <m:num>
            <m:r>
              <w:rPr>
                <w:rFonts w:ascii="Cambria Math" w:cs="Cambria Math" w:eastAsia="Cambria Math" w:hAnsi="Cambria Math"/>
                <w:b w:val="0"/>
                <w:i w:val="0"/>
                <w:smallCaps w:val="0"/>
                <w:strike w:val="0"/>
                <w:color w:val="000000"/>
                <w:sz w:val="19"/>
                <w:szCs w:val="19"/>
                <w:u w:val="none"/>
                <w:shd w:fill="auto" w:val="clear"/>
                <w:vertAlign w:val="baseline"/>
              </w:rPr>
              <m:t xml:space="preserve">d(pH)</m:t>
            </m:r>
          </m:num>
          <m:den>
            <m:r>
              <w:rPr>
                <w:rFonts w:ascii="Cambria Math" w:cs="Cambria Math" w:eastAsia="Cambria Math" w:hAnsi="Cambria Math"/>
                <w:b w:val="0"/>
                <w:i w:val="0"/>
                <w:smallCaps w:val="0"/>
                <w:strike w:val="0"/>
                <w:color w:val="000000"/>
                <w:sz w:val="19"/>
                <w:szCs w:val="19"/>
                <w:u w:val="none"/>
                <w:shd w:fill="auto" w:val="clear"/>
                <w:vertAlign w:val="baseline"/>
              </w:rPr>
              <m:t xml:space="preserve">dx</m:t>
            </m:r>
          </m:den>
        </m:f>
      </m:oMath>
      <w:r w:rsidDel="00000000" w:rsidR="00000000" w:rsidRPr="00000000">
        <w:rPr>
          <w:rFonts w:ascii="Gungsuh" w:cs="Gungsuh" w:eastAsia="Gungsuh" w:hAnsi="Gungsuh"/>
          <w:b w:val="0"/>
          <w:i w:val="0"/>
          <w:smallCaps w:val="0"/>
          <w:strike w:val="0"/>
          <w:color w:val="000000"/>
          <w:sz w:val="19"/>
          <w:szCs w:val="19"/>
          <w:u w:val="none"/>
          <w:shd w:fill="auto" w:val="clear"/>
          <w:vertAlign w:val="baseline"/>
          <w:rtl w:val="0"/>
        </w:rPr>
        <w:t xml:space="preserve"> ≈ 0.7  (</w:t>
      </w:r>
      <m:oMath>
        <m:f>
          <m:fPr>
            <m:ctrlPr>
              <w:rPr>
                <w:rFonts w:ascii="Cambria Math" w:cs="Cambria Math" w:eastAsia="Cambria Math" w:hAnsi="Cambria Math"/>
                <w:b w:val="0"/>
                <w:i w:val="0"/>
                <w:smallCaps w:val="0"/>
                <w:strike w:val="0"/>
                <w:color w:val="000000"/>
                <w:sz w:val="19"/>
                <w:szCs w:val="19"/>
                <w:u w:val="none"/>
                <w:shd w:fill="auto" w:val="clear"/>
                <w:vertAlign w:val="baseline"/>
              </w:rPr>
            </m:ctrlPr>
          </m:fPr>
          <m:num>
            <m:r>
              <w:rPr>
                <w:rFonts w:ascii="Cambria Math" w:cs="Cambria Math" w:eastAsia="Cambria Math" w:hAnsi="Cambria Math"/>
                <w:b w:val="0"/>
                <w:i w:val="0"/>
                <w:smallCaps w:val="0"/>
                <w:strike w:val="0"/>
                <w:color w:val="000000"/>
                <w:sz w:val="19"/>
                <w:szCs w:val="19"/>
                <w:u w:val="none"/>
                <w:shd w:fill="auto" w:val="clear"/>
                <w:vertAlign w:val="baseline"/>
              </w:rPr>
              <m:t xml:space="preserve">pH Unit </m:t>
            </m:r>
          </m:num>
          <m:den>
            <m:r>
              <w:rPr>
                <w:rFonts w:ascii="Cambria Math" w:cs="Cambria Math" w:eastAsia="Cambria Math" w:hAnsi="Cambria Math"/>
                <w:b w:val="0"/>
                <w:i w:val="0"/>
                <w:smallCaps w:val="0"/>
                <w:strike w:val="0"/>
                <w:color w:val="000000"/>
                <w:sz w:val="19"/>
                <w:szCs w:val="19"/>
                <w:u w:val="none"/>
                <w:shd w:fill="auto" w:val="clear"/>
                <w:vertAlign w:val="baseline"/>
              </w:rPr>
              <m:t xml:space="preserve">cm</m:t>
            </m:r>
          </m:den>
        </m:f>
      </m:oMath>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In the capillary cartridge, a longer column (5 cm) and a wider pH range (3-10) create a pH gradient of 1.4 (</w:t>
      </w:r>
      <m:oMath>
        <m:f>
          <m:fPr>
            <m:ctrlPr>
              <w:rPr>
                <w:rFonts w:ascii="Cambria Math" w:cs="Cambria Math" w:eastAsia="Cambria Math" w:hAnsi="Cambria Math"/>
                <w:b w:val="0"/>
                <w:i w:val="0"/>
                <w:smallCaps w:val="0"/>
                <w:strike w:val="0"/>
                <w:color w:val="000000"/>
                <w:sz w:val="19"/>
                <w:szCs w:val="19"/>
                <w:u w:val="none"/>
                <w:shd w:fill="auto" w:val="clear"/>
                <w:vertAlign w:val="baseline"/>
              </w:rPr>
            </m:ctrlPr>
          </m:fPr>
          <m:num>
            <m:r>
              <w:rPr>
                <w:rFonts w:ascii="Cambria Math" w:cs="Cambria Math" w:eastAsia="Cambria Math" w:hAnsi="Cambria Math"/>
                <w:b w:val="0"/>
                <w:i w:val="0"/>
                <w:smallCaps w:val="0"/>
                <w:strike w:val="0"/>
                <w:color w:val="000000"/>
                <w:sz w:val="19"/>
                <w:szCs w:val="19"/>
                <w:u w:val="none"/>
                <w:shd w:fill="auto" w:val="clear"/>
                <w:vertAlign w:val="baseline"/>
              </w:rPr>
              <m:t xml:space="preserve">pH Unit </m:t>
            </m:r>
          </m:num>
          <m:den>
            <m:r>
              <w:rPr>
                <w:rFonts w:ascii="Cambria Math" w:cs="Cambria Math" w:eastAsia="Cambria Math" w:hAnsi="Cambria Math"/>
                <w:b w:val="0"/>
                <w:i w:val="0"/>
                <w:smallCaps w:val="0"/>
                <w:strike w:val="0"/>
                <w:color w:val="000000"/>
                <w:sz w:val="19"/>
                <w:szCs w:val="19"/>
                <w:u w:val="none"/>
                <w:shd w:fill="auto" w:val="clear"/>
                <w:vertAlign w:val="baseline"/>
              </w:rPr>
              <m:t xml:space="preserve">cm</m:t>
            </m:r>
          </m:den>
        </m:f>
      </m:oMath>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which is two-fold greater than that of the COC-chip gradient. The choice of carrier ampholyte range influences the generated pH gradient and the resolution. For example, a high resolution of </w:t>
      </w:r>
      <w:r w:rsidDel="00000000" w:rsidR="00000000" w:rsidRPr="00000000">
        <w:rPr>
          <w:rFonts w:ascii="ＭＳ ゴシック" w:cs="ＭＳ ゴシック" w:eastAsia="ＭＳ ゴシック" w:hAnsi="ＭＳ ゴシック"/>
          <w:b w:val="0"/>
          <w:i w:val="0"/>
          <w:smallCaps w:val="0"/>
          <w:strike w:val="0"/>
          <w:color w:val="000000"/>
          <w:sz w:val="19"/>
          <w:szCs w:val="19"/>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0.03 pH units can be achieved in a 5-cm-long capillary performed with imaged CIEF, when a narrow pH gradient of 6 to 8 with a high voltage of 3 kV is used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superscript"/>
          <w:rtl w:val="0"/>
        </w:rPr>
        <w:t xml:space="preserve">4</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 In this experiment, focusing was performed at 1.5 kV for 2 min, followed by 3 kV for 7 more minutes. Under the employed conditions, shallower pH gradient was formed in the multi-channel chip that has positively contributed in the resolving power of the separation experiment.</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A comparison of the separation experiments in the COC-chip and the commercial chip, as demonstrated in Figure S-4, showed that the myoglobin isoforms were fairly well resolved in both devices. However, the corresponding peaks were broader for the COC chip, thus suggesting analyte wall adsorption. Due to the inert surface of the plastic chip, its channel preconditioning for EOF suppression was not as important, compared to the fused silica in the commercial cartridge. Hence, flushing with water between runs was adequate to get reproducible data. A relative standard deviation of 1.8% for determination of the peak positions in three trials showed lower but comparable reproducibility to the similar experiment in the commercial channel.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1"/>
          <w:szCs w:val="21"/>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1"/>
          <w:szCs w:val="21"/>
          <w:u w:val="none"/>
          <w:shd w:fill="auto" w:val="clear"/>
          <w:vertAlign w:val="baseline"/>
          <w:rtl w:val="0"/>
        </w:rPr>
        <w:t xml:space="preserve">Lens Effect; Geometry of the Column</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The curvature of the capillary acts as a thick cylindrical lens with a short focal length and bends the incoming beam. Hence, the lens effect causes the collimated incoming light beam to become strongly un-collimated, and as a result, the stray light makes the light collection inefficient. This drawback can be addressed by using microchips with a rectangular channel. The reduction of beam scattering and distortion by means of the flat channel walls is very important for path-length-dependent optical detection schemes. Tsuda et al. reported increase in the sensitivity of UV-vis absorbance detection method by running capillary zone electrophoresis inside rectangular silica capillary, although at the expense of peak broadening </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superscript"/>
          <w:rtl w:val="0"/>
        </w:rPr>
        <w:t xml:space="preserve">5</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 xml:space="preserve">.</w:t>
      </w: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margin">
              <wp:posOffset>2961640</wp:posOffset>
            </wp:positionH>
            <wp:positionV relativeFrom="paragraph">
              <wp:posOffset>15240</wp:posOffset>
            </wp:positionV>
            <wp:extent cx="3408045" cy="186055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0"/>
                    <a:srcRect b="0" l="5885" r="6384" t="0"/>
                    <a:stretch>
                      <a:fillRect/>
                    </a:stretch>
                  </pic:blipFill>
                  <pic:spPr>
                    <a:xfrm>
                      <a:off x="0" y="0"/>
                      <a:ext cx="3408045" cy="1860550"/>
                    </a:xfrm>
                    <a:prstGeom prst="rect"/>
                    <a:ln/>
                  </pic:spPr>
                </pic:pic>
              </a:graphicData>
            </a:graphic>
          </wp:anchor>
        </w:drawing>
      </w:r>
      <w:r w:rsidDel="00000000" w:rsidR="00000000" w:rsidRPr="00000000">
        <mc:AlternateContent>
          <mc:Choice Requires="wpg">
            <w:drawing>
              <wp:anchor allowOverlap="1" behindDoc="1" distB="0" distT="0" distL="114300" distR="114300" hidden="0" layoutInCell="1" locked="0" relativeHeight="0" simplePos="0">
                <wp:simplePos x="0" y="0"/>
                <wp:positionH relativeFrom="margin">
                  <wp:posOffset>3098800</wp:posOffset>
                </wp:positionH>
                <wp:positionV relativeFrom="paragraph">
                  <wp:posOffset>1752600</wp:posOffset>
                </wp:positionV>
                <wp:extent cx="3162300" cy="914400"/>
                <wp:effectExtent b="0" l="0" r="0" t="0"/>
                <wp:wrapSquare wrapText="bothSides" distB="0" distT="0" distL="114300" distR="114300"/>
                <wp:docPr id="4" name=""/>
                <a:graphic>
                  <a:graphicData uri="http://schemas.microsoft.com/office/word/2010/wordprocessingShape">
                    <wps:wsp>
                      <wps:cNvSpPr/>
                      <wps:cNvPr id="9" name="Shape 9"/>
                      <wps:spPr>
                        <a:xfrm>
                          <a:off x="3765167" y="3322800"/>
                          <a:ext cx="3161664" cy="914400"/>
                        </a:xfrm>
                        <a:prstGeom prst="rect">
                          <a:avLst/>
                        </a:prstGeom>
                        <a:noFill/>
                        <a:ln>
                          <a:noFill/>
                        </a:ln>
                      </wps:spPr>
                      <wps:txbx>
                        <w:txbxContent>
                          <w:p w:rsidR="00000000" w:rsidDel="00000000" w:rsidP="00000000" w:rsidRDefault="00000000" w:rsidRPr="00000000">
                            <w:pPr>
                              <w:spacing w:after="60" w:before="180" w:line="240"/>
                              <w:ind w:left="0" w:right="0" w:firstLine="0"/>
                              <w:jc w:val="both"/>
                              <w:textDirection w:val="btLr"/>
                            </w:pPr>
                            <w:r w:rsidDel="00000000" w:rsidR="00000000" w:rsidRPr="00000000">
                              <w:rPr>
                                <w:rFonts w:ascii="Arno Pro" w:cs="Arno Pro" w:eastAsia="Arno Pro" w:hAnsi="Arno Pro"/>
                                <w:b w:val="0"/>
                                <w:i w:val="0"/>
                                <w:smallCaps w:val="0"/>
                                <w:strike w:val="0"/>
                                <w:color w:val="000000"/>
                                <w:sz w:val="18"/>
                                <w:vertAlign w:val="baseline"/>
                              </w:rPr>
                              <w:t xml:space="preserve">Figure S-5 Comparison of the light intensity after passing through a round and square separation column: (A) 100 μm x 100 μm x 1.8 cm; (B) 100 μm ID x 5 cm. The separation columns were filled with water. Exposure time equals to 250 μs.</w:t>
                            </w:r>
                          </w:p>
                          <w:p w:rsidR="00000000" w:rsidDel="00000000" w:rsidP="00000000" w:rsidRDefault="00000000" w:rsidRPr="00000000">
                            <w:pPr>
                              <w:spacing w:after="200" w:before="0" w:line="240"/>
                              <w:ind w:left="0" w:right="0" w:firstLine="0"/>
                              <w:jc w:val="both"/>
                              <w:textDirection w:val="btLr"/>
                            </w:pPr>
                            <w:r w:rsidDel="00000000" w:rsidR="00000000" w:rsidRPr="00000000">
                              <w:rPr>
                                <w:rFonts w:ascii="Arno Pro" w:cs="Arno Pro" w:eastAsia="Arno Pro" w:hAnsi="Arno Pro"/>
                                <w:b w:val="0"/>
                                <w:i w:val="0"/>
                                <w:smallCaps w:val="0"/>
                                <w:strike w:val="0"/>
                                <w:color w:val="000000"/>
                                <w:sz w:val="18"/>
                                <w:vertAlign w:val="baseline"/>
                              </w:rPr>
                            </w:r>
                          </w:p>
                        </w:txbxContent>
                      </wps:txbx>
                      <wps:bodyPr anchorCtr="0" anchor="t" bIns="45700" lIns="91425"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3098800</wp:posOffset>
                </wp:positionH>
                <wp:positionV relativeFrom="paragraph">
                  <wp:posOffset>1752600</wp:posOffset>
                </wp:positionV>
                <wp:extent cx="3162300" cy="914400"/>
                <wp:effectExtent b="0" l="0" r="0" t="0"/>
                <wp:wrapSquare wrapText="bothSides" distB="0" distT="0" distL="114300" distR="114300"/>
                <wp:docPr id="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3162300" cy="914400"/>
                        </a:xfrm>
                        <a:prstGeom prst="rect"/>
                        <a:ln/>
                      </pic:spPr>
                    </pic:pic>
                  </a:graphicData>
                </a:graphic>
              </wp:anchor>
            </w:drawing>
          </mc:Fallback>
        </mc:AlternateConten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0"/>
          <w:strike w:val="0"/>
          <w:color w:val="000000"/>
          <w:sz w:val="20"/>
          <w:szCs w:val="20"/>
          <w:u w:val="none"/>
          <w:shd w:fill="auto" w:val="clear"/>
          <w:vertAlign w:val="baseline"/>
        </w:rPr>
      </w:pPr>
      <w:r w:rsidDel="00000000" w:rsidR="00000000" w:rsidRPr="00000000">
        <w:rPr>
          <w:rFonts w:ascii="Open Sans Light" w:cs="Open Sans Light" w:eastAsia="Open Sans Light" w:hAnsi="Open Sans Light"/>
          <w:b w:val="1"/>
          <w:i w:val="0"/>
          <w:smallCaps w:val="0"/>
          <w:strike w:val="0"/>
          <w:color w:val="000000"/>
          <w:sz w:val="20"/>
          <w:szCs w:val="20"/>
          <w:u w:val="none"/>
          <w:shd w:fill="auto" w:val="clear"/>
          <w:vertAlign w:val="baseline"/>
          <w:rtl w:val="0"/>
        </w:rPr>
        <w:t xml:space="preserve">The Capillary Cartridge vs. The Multi-channel Chip</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Fonts w:ascii="Arno Pro" w:cs="Arno Pro" w:eastAsia="Arno Pro" w:hAnsi="Arno Pro"/>
          <w:b w:val="0"/>
          <w:i w:val="0"/>
          <w:smallCaps w:val="0"/>
          <w:strike w:val="0"/>
          <w:color w:val="000000"/>
          <w:sz w:val="19"/>
          <w:szCs w:val="19"/>
          <w:u w:val="none"/>
          <w:shd w:fill="auto" w:val="clear"/>
          <w:vertAlign w:val="baseline"/>
          <w:rtl w:val="0"/>
        </w:rPr>
        <w:t xml:space="preserve">The capillary isoelectric focusing experiments were performed by UV whole column imaging detection in channel C of the microchip as an identical separation column to the capillary. The results provide insight about the chip performance compared to the capillary cartridge. Here, some of the key features of the multi-channel chip are summarized and compared to the commercial capillary cartridge. A straightforward advantage of using microchip in CIEF-WCID is the absence of lens effect, which contributes to better detection sensitivity. The COC-chips are provided by their manufacturer as disposable products, however, according to the non-destructive nature of the employed chemicals, each chip can be used for 15 runs on average within three days, with narrower channels being subjected to blocking faster.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Table S-1 Side-by-side comparison of the disposable multi-channel chip with the commercial capillary cartridge.</w:t>
      </w:r>
    </w:p>
    <w:tbl>
      <w:tblPr>
        <w:tblStyle w:val="Table5"/>
        <w:tblW w:w="4308.0" w:type="dxa"/>
        <w:jc w:val="center"/>
        <w:tblLayout w:type="fixed"/>
        <w:tblLook w:val="0400"/>
      </w:tblPr>
      <w:tblGrid>
        <w:gridCol w:w="1126"/>
        <w:gridCol w:w="1571"/>
        <w:gridCol w:w="1611"/>
        <w:tblGridChange w:id="0">
          <w:tblGrid>
            <w:gridCol w:w="1126"/>
            <w:gridCol w:w="1571"/>
            <w:gridCol w:w="1611"/>
          </w:tblGrid>
        </w:tblGridChange>
      </w:tblGrid>
      <w:tr>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Feature</w:t>
            </w:r>
          </w:p>
        </w:tc>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Multichannel Chip</w:t>
            </w:r>
          </w:p>
        </w:tc>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Capillary Cartridge</w:t>
            </w:r>
          </w:p>
        </w:tc>
      </w:tr>
      <w:tr>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Material</w:t>
            </w:r>
          </w:p>
        </w:tc>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Plastic (COC)</w:t>
            </w:r>
          </w:p>
        </w:tc>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Fused silica</w:t>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EOF</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Negligible</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Need suppression </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a</w:t>
            </w:r>
            <w:r w:rsidDel="00000000" w:rsidR="00000000" w:rsidRPr="00000000">
              <w:rPr>
                <w:rtl w:val="0"/>
              </w:rPr>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Lens effect </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b</w:t>
            </w:r>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NA</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Present</w:t>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Durability</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15 runs </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c</w:t>
            </w:r>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 runs </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6</w:t>
            </w:r>
            <w:r w:rsidDel="00000000" w:rsidR="00000000" w:rsidRPr="00000000">
              <w:rPr>
                <w:rtl w:val="0"/>
              </w:rPr>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Cost</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$ 60 </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d</w:t>
            </w:r>
            <w:r w:rsidDel="00000000" w:rsidR="00000000" w:rsidRPr="00000000">
              <w:rPr>
                <w:rtl w:val="0"/>
              </w:rPr>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$ 250</w:t>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RSD</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&lt; 2%</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&lt; 0.5%</w:t>
            </w:r>
          </w:p>
        </w:tc>
      </w:tr>
      <w:tr>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Throughput</w:t>
            </w:r>
          </w:p>
        </w:tc>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8 channels</w:t>
            </w:r>
          </w:p>
        </w:tc>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Single capillary</w:t>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a) Especially at pH values greater than three. b) Created by the round shape of the separation column. </w:t>
        <w:br w:type="textWrapping"/>
        <w:t xml:space="preserve">c) Within three consecutive days.  d) The photo mask layer price is not included. </w:t>
      </w:r>
    </w:p>
    <w:p w:rsidR="00000000" w:rsidDel="00000000" w:rsidP="00000000" w:rsidRDefault="00000000" w:rsidRPr="00000000">
      <w:pPr>
        <w:widowControl w:val="0"/>
        <w:spacing w:after="0" w:lineRule="auto"/>
        <w:contextualSpacing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bookmarkStart w:colFirst="0" w:colLast="0" w:name="_2et92p0" w:id="4"/>
      <w:bookmarkEnd w:id="4"/>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ab/>
        <w:t xml:space="preserve">Table S-2 Employed channels' specifications. SVR: Surface Area to Volume Ratio</w:t>
      </w:r>
    </w:p>
    <w:tbl>
      <w:tblPr>
        <w:tblStyle w:val="Table6"/>
        <w:tblW w:w="5924.0" w:type="dxa"/>
        <w:jc w:val="center"/>
        <w:tblLayout w:type="fixed"/>
        <w:tblLook w:val="0400"/>
      </w:tblPr>
      <w:tblGrid>
        <w:gridCol w:w="2326"/>
        <w:gridCol w:w="903"/>
        <w:gridCol w:w="723"/>
        <w:gridCol w:w="1086"/>
        <w:gridCol w:w="886"/>
        <w:tblGridChange w:id="0">
          <w:tblGrid>
            <w:gridCol w:w="2326"/>
            <w:gridCol w:w="903"/>
            <w:gridCol w:w="723"/>
            <w:gridCol w:w="1086"/>
            <w:gridCol w:w="886"/>
          </w:tblGrid>
        </w:tblGridChange>
      </w:tblGrid>
      <w:tr>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Channels’ specifications</w:t>
            </w:r>
          </w:p>
        </w:tc>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C</w:t>
            </w:r>
          </w:p>
        </w:tc>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D</w:t>
            </w:r>
          </w:p>
        </w:tc>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E</w:t>
            </w:r>
          </w:p>
        </w:tc>
        <w:tc>
          <w:tcPr>
            <w:tcBorders>
              <w:top w:color="000000" w:space="0" w:sz="8" w:val="single"/>
              <w:bottom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Capillary</w:t>
            </w:r>
          </w:p>
        </w:tc>
      </w:tr>
      <w:tr>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Width </w:t>
            </w:r>
            <w:r w:rsidDel="00000000" w:rsidR="00000000" w:rsidRPr="00000000">
              <w:rPr>
                <w:rFonts w:ascii="ＭＳ ゴシック" w:cs="ＭＳ ゴシック" w:eastAsia="ＭＳ ゴシック" w:hAnsi="ＭＳ ゴシック"/>
                <w:b w:val="0"/>
                <w:i w:val="0"/>
                <w:smallCaps w:val="0"/>
                <w:strike w:val="0"/>
                <w:color w:val="000000"/>
                <w:sz w:val="18"/>
                <w:szCs w:val="18"/>
                <w:u w:val="none"/>
                <w:shd w:fill="auto" w:val="clear"/>
                <w:vertAlign w:val="baseline"/>
                <w:rtl w:val="0"/>
              </w:rPr>
              <w:t xml:space="preserve">×</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 depth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2</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w:t>
            </w:r>
          </w:p>
        </w:tc>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 </w:t>
            </w:r>
            <w:r w:rsidDel="00000000" w:rsidR="00000000" w:rsidRPr="00000000">
              <w:rPr>
                <w:rFonts w:ascii="ＭＳ ゴシック" w:cs="ＭＳ ゴシック" w:eastAsia="ＭＳ ゴシック" w:hAnsi="ＭＳ ゴシック"/>
                <w:b w:val="0"/>
                <w:i w:val="0"/>
                <w:smallCaps w:val="0"/>
                <w:strike w:val="0"/>
                <w:color w:val="000000"/>
                <w:sz w:val="18"/>
                <w:szCs w:val="18"/>
                <w:u w:val="none"/>
                <w:shd w:fill="auto" w:val="clear"/>
                <w:vertAlign w:val="baseline"/>
                <w:rtl w:val="0"/>
              </w:rPr>
              <w:t xml:space="preserve">×</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w:t>
            </w:r>
          </w:p>
        </w:tc>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50 </w:t>
            </w:r>
            <w:r w:rsidDel="00000000" w:rsidR="00000000" w:rsidRPr="00000000">
              <w:rPr>
                <w:rFonts w:ascii="ＭＳ ゴシック" w:cs="ＭＳ ゴシック" w:eastAsia="ＭＳ ゴシック" w:hAnsi="ＭＳ ゴシック"/>
                <w:b w:val="0"/>
                <w:i w:val="0"/>
                <w:smallCaps w:val="0"/>
                <w:strike w:val="0"/>
                <w:color w:val="000000"/>
                <w:sz w:val="18"/>
                <w:szCs w:val="18"/>
                <w:u w:val="none"/>
                <w:shd w:fill="auto" w:val="clear"/>
                <w:vertAlign w:val="baseline"/>
                <w:rtl w:val="0"/>
              </w:rPr>
              <w:t xml:space="preserve">×</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50</w:t>
            </w:r>
          </w:p>
        </w:tc>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 </w:t>
            </w:r>
            <w:r w:rsidDel="00000000" w:rsidR="00000000" w:rsidRPr="00000000">
              <w:rPr>
                <w:rFonts w:ascii="ＭＳ ゴシック" w:cs="ＭＳ ゴシック" w:eastAsia="ＭＳ ゴシック" w:hAnsi="ＭＳ ゴシック"/>
                <w:b w:val="0"/>
                <w:i w:val="0"/>
                <w:smallCaps w:val="0"/>
                <w:strike w:val="0"/>
                <w:color w:val="000000"/>
                <w:sz w:val="18"/>
                <w:szCs w:val="18"/>
                <w:u w:val="none"/>
                <w:shd w:fill="auto" w:val="clear"/>
                <w:vertAlign w:val="baseline"/>
                <w:rtl w:val="0"/>
              </w:rPr>
              <w:t xml:space="preserve">×</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50</w:t>
            </w:r>
          </w:p>
        </w:tc>
        <w:tc>
          <w:tcPr>
            <w:tcBorders>
              <w:top w:color="000000" w:space="0" w:sz="4"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ID=100</w:t>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SVR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w:t>
            </w:r>
            <w:r w:rsidDel="00000000" w:rsidR="00000000" w:rsidRPr="00000000">
              <w:rPr>
                <w:rFonts w:ascii="Arno Pro" w:cs="Arno Pro" w:eastAsia="Arno Pro" w:hAnsi="Arno Pro"/>
                <w:b w:val="0"/>
                <w:i w:val="0"/>
                <w:smallCaps w:val="0"/>
                <w:strike w:val="0"/>
                <w:color w:val="000000"/>
                <w:sz w:val="18"/>
                <w:szCs w:val="18"/>
                <w:u w:val="none"/>
                <w:shd w:fill="auto" w:val="clear"/>
                <w:vertAlign w:val="superscript"/>
                <w:rtl w:val="0"/>
              </w:rPr>
              <w:t xml:space="preserve">-1</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0.04</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0.08</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0.06</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0.04</w:t>
            </w:r>
          </w:p>
        </w:tc>
      </w:tr>
      <w:tr>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Hydraulic diameter, D</w:t>
            </w:r>
            <w:r w:rsidDel="00000000" w:rsidR="00000000" w:rsidRPr="00000000">
              <w:rPr>
                <w:rFonts w:ascii="Arno Pro" w:cs="Arno Pro" w:eastAsia="Arno Pro" w:hAnsi="Arno Pro"/>
                <w:b w:val="0"/>
                <w:i w:val="0"/>
                <w:smallCaps w:val="0"/>
                <w:strike w:val="0"/>
                <w:color w:val="000000"/>
                <w:sz w:val="18"/>
                <w:szCs w:val="18"/>
                <w:u w:val="none"/>
                <w:shd w:fill="auto" w:val="clear"/>
                <w:vertAlign w:val="subscript"/>
                <w:rtl w:val="0"/>
              </w:rPr>
              <w:t xml:space="preserve">H</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μ</w:t>
            </w: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m)</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50</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67</w:t>
            </w:r>
          </w:p>
        </w:tc>
        <w:tc>
          <w:tcPr>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100</w:t>
            </w:r>
          </w:p>
        </w:tc>
      </w:tr>
      <w:tr>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Duct geometry</w:t>
            </w:r>
          </w:p>
        </w:tc>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Square</w:t>
            </w:r>
          </w:p>
        </w:tc>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Square</w:t>
            </w:r>
          </w:p>
        </w:tc>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Rectangular</w:t>
            </w:r>
          </w:p>
        </w:tc>
        <w:tc>
          <w:tcPr>
            <w:tcBorders>
              <w:bottom w:color="000000" w:space="0" w:sz="8" w:val="single"/>
            </w:tcBorders>
            <w:vAlign w:val="center"/>
          </w:tcPr>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20" w:line="240" w:lineRule="auto"/>
              <w:ind w:left="0" w:right="0" w:firstLine="0"/>
              <w:contextualSpacing w:val="0"/>
              <w:jc w:val="both"/>
              <w:rPr>
                <w:rFonts w:ascii="Arno Pro" w:cs="Arno Pro" w:eastAsia="Arno Pro" w:hAnsi="Arno Pro"/>
                <w:b w:val="0"/>
                <w:i w:val="0"/>
                <w:smallCaps w:val="0"/>
                <w:strike w:val="0"/>
                <w:color w:val="000000"/>
                <w:sz w:val="18"/>
                <w:szCs w:val="18"/>
                <w:u w:val="none"/>
                <w:shd w:fill="auto" w:val="clear"/>
                <w:vertAlign w:val="baseline"/>
              </w:rPr>
            </w:pPr>
            <w:r w:rsidDel="00000000" w:rsidR="00000000" w:rsidRPr="00000000">
              <w:rPr>
                <w:rFonts w:ascii="Arno Pro" w:cs="Arno Pro" w:eastAsia="Arno Pro" w:hAnsi="Arno Pro"/>
                <w:b w:val="0"/>
                <w:i w:val="0"/>
                <w:smallCaps w:val="0"/>
                <w:strike w:val="0"/>
                <w:color w:val="000000"/>
                <w:sz w:val="18"/>
                <w:szCs w:val="18"/>
                <w:u w:val="none"/>
                <w:shd w:fill="auto" w:val="clear"/>
                <w:vertAlign w:val="baseline"/>
                <w:rtl w:val="0"/>
              </w:rPr>
              <w:t xml:space="preserve">Circular</w:t>
            </w:r>
          </w:p>
        </w:tc>
      </w:tr>
    </w:tbl>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both"/>
        <w:rPr>
          <w:rFonts w:ascii="Arno Pro" w:cs="Arno Pro" w:eastAsia="Arno Pro" w:hAnsi="Arno Pro"/>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contextualSpacing w:val="0"/>
        <w:jc w:val="both"/>
        <w:rPr>
          <w:rFonts w:ascii="Open Sans Light" w:cs="Open Sans Light" w:eastAsia="Open Sans Light" w:hAnsi="Open Sans Light"/>
          <w:b w:val="1"/>
          <w:i w:val="0"/>
          <w:smallCaps w:val="1"/>
          <w:strike w:val="0"/>
          <w:color w:val="000000"/>
          <w:sz w:val="21"/>
          <w:szCs w:val="21"/>
          <w:u w:val="none"/>
          <w:shd w:fill="auto" w:val="clear"/>
          <w:vertAlign w:val="baseline"/>
        </w:rPr>
      </w:pPr>
      <w:bookmarkStart w:colFirst="0" w:colLast="0" w:name="_tyjcwt" w:id="5"/>
      <w:bookmarkEnd w:id="5"/>
      <w:r w:rsidDel="00000000" w:rsidR="00000000" w:rsidRPr="00000000">
        <w:rPr>
          <w:rFonts w:ascii="Open Sans Light" w:cs="Open Sans Light" w:eastAsia="Open Sans Light" w:hAnsi="Open Sans Light"/>
          <w:b w:val="1"/>
          <w:i w:val="0"/>
          <w:smallCaps w:val="1"/>
          <w:strike w:val="0"/>
          <w:color w:val="000000"/>
          <w:sz w:val="21"/>
          <w:szCs w:val="21"/>
          <w:u w:val="none"/>
          <w:shd w:fill="auto" w:val="clear"/>
          <w:vertAlign w:val="baseline"/>
          <w:rtl w:val="0"/>
        </w:rPr>
        <w:t xml:space="preserve">References</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 </w:t>
        <w:tab/>
        <w:t xml:space="preserve">Huang, C.; Gregory, J. W.; Sullivan, J. P. </w:t>
      </w:r>
      <w:r w:rsidDel="00000000" w:rsidR="00000000" w:rsidRPr="00000000">
        <w:rPr>
          <w:i w:val="1"/>
          <w:sz w:val="18"/>
          <w:szCs w:val="18"/>
          <w:rtl w:val="0"/>
        </w:rPr>
        <w:t xml:space="preserve">Meas. Sci. Technol.</w:t>
      </w:r>
      <w:r w:rsidDel="00000000" w:rsidR="00000000" w:rsidRPr="00000000">
        <w:rPr>
          <w:sz w:val="18"/>
          <w:szCs w:val="18"/>
          <w:rtl w:val="0"/>
        </w:rPr>
        <w:t xml:space="preserve"> </w:t>
      </w:r>
      <w:r w:rsidDel="00000000" w:rsidR="00000000" w:rsidRPr="00000000">
        <w:rPr>
          <w:b w:val="1"/>
          <w:sz w:val="18"/>
          <w:szCs w:val="18"/>
          <w:rtl w:val="0"/>
        </w:rPr>
        <w:t xml:space="preserve">2007</w:t>
      </w:r>
      <w:r w:rsidDel="00000000" w:rsidR="00000000" w:rsidRPr="00000000">
        <w:rPr>
          <w:sz w:val="18"/>
          <w:szCs w:val="18"/>
          <w:rtl w:val="0"/>
        </w:rPr>
        <w:t xml:space="preserve">, </w:t>
      </w:r>
      <w:r w:rsidDel="00000000" w:rsidR="00000000" w:rsidRPr="00000000">
        <w:rPr>
          <w:i w:val="1"/>
          <w:sz w:val="18"/>
          <w:szCs w:val="18"/>
          <w:rtl w:val="0"/>
        </w:rPr>
        <w:t xml:space="preserve">18</w:t>
      </w:r>
      <w:r w:rsidDel="00000000" w:rsidR="00000000" w:rsidRPr="00000000">
        <w:rPr>
          <w:sz w:val="18"/>
          <w:szCs w:val="18"/>
          <w:rtl w:val="0"/>
        </w:rPr>
        <w:t xml:space="preserve">, N32.</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(2) </w:t>
        <w:tab/>
        <w:t xml:space="preserve">Mao, Q.; Pawliszyn, J. </w:t>
      </w:r>
      <w:r w:rsidDel="00000000" w:rsidR="00000000" w:rsidRPr="00000000">
        <w:rPr>
          <w:i w:val="1"/>
          <w:sz w:val="18"/>
          <w:szCs w:val="18"/>
          <w:rtl w:val="0"/>
        </w:rPr>
        <w:t xml:space="preserve">J. Biochem. Biophys. Methods</w:t>
      </w:r>
      <w:r w:rsidDel="00000000" w:rsidR="00000000" w:rsidRPr="00000000">
        <w:rPr>
          <w:sz w:val="18"/>
          <w:szCs w:val="18"/>
          <w:rtl w:val="0"/>
        </w:rPr>
        <w:t xml:space="preserve"> </w:t>
      </w:r>
      <w:r w:rsidDel="00000000" w:rsidR="00000000" w:rsidRPr="00000000">
        <w:rPr>
          <w:b w:val="1"/>
          <w:sz w:val="18"/>
          <w:szCs w:val="18"/>
          <w:rtl w:val="0"/>
        </w:rPr>
        <w:t xml:space="preserve">1999</w:t>
      </w:r>
      <w:r w:rsidDel="00000000" w:rsidR="00000000" w:rsidRPr="00000000">
        <w:rPr>
          <w:sz w:val="18"/>
          <w:szCs w:val="18"/>
          <w:rtl w:val="0"/>
        </w:rPr>
        <w:t xml:space="preserve">, </w:t>
      </w:r>
      <w:r w:rsidDel="00000000" w:rsidR="00000000" w:rsidRPr="00000000">
        <w:rPr>
          <w:i w:val="1"/>
          <w:sz w:val="18"/>
          <w:szCs w:val="18"/>
          <w:rtl w:val="0"/>
        </w:rPr>
        <w:t xml:space="preserve">39</w:t>
      </w:r>
      <w:r w:rsidDel="00000000" w:rsidR="00000000" w:rsidRPr="00000000">
        <w:rPr>
          <w:sz w:val="18"/>
          <w:szCs w:val="18"/>
          <w:rtl w:val="0"/>
        </w:rPr>
        <w:t xml:space="preserve">, 93–110.</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(3) </w:t>
        <w:tab/>
        <w:t xml:space="preserve">Rilbe, H. </w:t>
      </w:r>
      <w:r w:rsidDel="00000000" w:rsidR="00000000" w:rsidRPr="00000000">
        <w:rPr>
          <w:i w:val="1"/>
          <w:sz w:val="18"/>
          <w:szCs w:val="18"/>
          <w:rtl w:val="0"/>
        </w:rPr>
        <w:t xml:space="preserve">Ann. New York Acad. Sci. NY Acad. Sci.</w:t>
      </w:r>
      <w:r w:rsidDel="00000000" w:rsidR="00000000" w:rsidRPr="00000000">
        <w:rPr>
          <w:sz w:val="18"/>
          <w:szCs w:val="18"/>
          <w:rtl w:val="0"/>
        </w:rPr>
        <w:t xml:space="preserve"> </w:t>
      </w:r>
      <w:r w:rsidDel="00000000" w:rsidR="00000000" w:rsidRPr="00000000">
        <w:rPr>
          <w:b w:val="1"/>
          <w:sz w:val="18"/>
          <w:szCs w:val="18"/>
          <w:rtl w:val="0"/>
        </w:rPr>
        <w:t xml:space="preserve">1973</w:t>
      </w:r>
      <w:r w:rsidDel="00000000" w:rsidR="00000000" w:rsidRPr="00000000">
        <w:rPr>
          <w:sz w:val="18"/>
          <w:szCs w:val="18"/>
          <w:rtl w:val="0"/>
        </w:rPr>
        <w:t xml:space="preserve">, </w:t>
      </w:r>
      <w:r w:rsidDel="00000000" w:rsidR="00000000" w:rsidRPr="00000000">
        <w:rPr>
          <w:i w:val="1"/>
          <w:sz w:val="18"/>
          <w:szCs w:val="18"/>
          <w:rtl w:val="0"/>
        </w:rPr>
        <w:t xml:space="preserve">209</w:t>
      </w:r>
      <w:r w:rsidDel="00000000" w:rsidR="00000000" w:rsidRPr="00000000">
        <w:rPr>
          <w:sz w:val="18"/>
          <w:szCs w:val="18"/>
          <w:rtl w:val="0"/>
        </w:rPr>
        <w:t xml:space="preserve">, 11–22.</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(4) </w:t>
        <w:tab/>
        <w:t xml:space="preserve">Wu, J.; Tragas, C.; Watson, A.; Pawliszyn, J. </w:t>
      </w:r>
      <w:r w:rsidDel="00000000" w:rsidR="00000000" w:rsidRPr="00000000">
        <w:rPr>
          <w:i w:val="1"/>
          <w:sz w:val="18"/>
          <w:szCs w:val="18"/>
          <w:rtl w:val="0"/>
        </w:rPr>
        <w:t xml:space="preserve">Anal. Chim. Acta</w:t>
      </w:r>
      <w:r w:rsidDel="00000000" w:rsidR="00000000" w:rsidRPr="00000000">
        <w:rPr>
          <w:sz w:val="18"/>
          <w:szCs w:val="18"/>
          <w:rtl w:val="0"/>
        </w:rPr>
        <w:t xml:space="preserve"> </w:t>
      </w:r>
      <w:r w:rsidDel="00000000" w:rsidR="00000000" w:rsidRPr="00000000">
        <w:rPr>
          <w:b w:val="1"/>
          <w:sz w:val="18"/>
          <w:szCs w:val="18"/>
          <w:rtl w:val="0"/>
        </w:rPr>
        <w:t xml:space="preserve">1999</w:t>
      </w:r>
      <w:r w:rsidDel="00000000" w:rsidR="00000000" w:rsidRPr="00000000">
        <w:rPr>
          <w:sz w:val="18"/>
          <w:szCs w:val="18"/>
          <w:rtl w:val="0"/>
        </w:rPr>
        <w:t xml:space="preserve">, </w:t>
      </w:r>
      <w:r w:rsidDel="00000000" w:rsidR="00000000" w:rsidRPr="00000000">
        <w:rPr>
          <w:i w:val="1"/>
          <w:sz w:val="18"/>
          <w:szCs w:val="18"/>
          <w:rtl w:val="0"/>
        </w:rPr>
        <w:t xml:space="preserve">383</w:t>
      </w:r>
      <w:r w:rsidDel="00000000" w:rsidR="00000000" w:rsidRPr="00000000">
        <w:rPr>
          <w:sz w:val="18"/>
          <w:szCs w:val="18"/>
          <w:rtl w:val="0"/>
        </w:rPr>
        <w:t xml:space="preserve">, 67–78.</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(5) </w:t>
        <w:tab/>
        <w:t xml:space="preserve">Tsuda, T.; Sweedler, J. V.; Zare, R. N. </w:t>
      </w:r>
      <w:r w:rsidDel="00000000" w:rsidR="00000000" w:rsidRPr="00000000">
        <w:rPr>
          <w:i w:val="1"/>
          <w:sz w:val="18"/>
          <w:szCs w:val="18"/>
          <w:rtl w:val="0"/>
        </w:rPr>
        <w:t xml:space="preserve">Anal. Chem.</w:t>
      </w:r>
      <w:r w:rsidDel="00000000" w:rsidR="00000000" w:rsidRPr="00000000">
        <w:rPr>
          <w:sz w:val="18"/>
          <w:szCs w:val="18"/>
          <w:rtl w:val="0"/>
        </w:rPr>
        <w:t xml:space="preserve"> </w:t>
      </w:r>
      <w:r w:rsidDel="00000000" w:rsidR="00000000" w:rsidRPr="00000000">
        <w:rPr>
          <w:b w:val="1"/>
          <w:sz w:val="18"/>
          <w:szCs w:val="18"/>
          <w:rtl w:val="0"/>
        </w:rPr>
        <w:t xml:space="preserve">1990</w:t>
      </w:r>
      <w:r w:rsidDel="00000000" w:rsidR="00000000" w:rsidRPr="00000000">
        <w:rPr>
          <w:sz w:val="18"/>
          <w:szCs w:val="18"/>
          <w:rtl w:val="0"/>
        </w:rPr>
        <w:t xml:space="preserve">, </w:t>
      </w:r>
      <w:r w:rsidDel="00000000" w:rsidR="00000000" w:rsidRPr="00000000">
        <w:rPr>
          <w:i w:val="1"/>
          <w:sz w:val="18"/>
          <w:szCs w:val="18"/>
          <w:rtl w:val="0"/>
        </w:rPr>
        <w:t xml:space="preserve">62</w:t>
      </w:r>
      <w:r w:rsidDel="00000000" w:rsidR="00000000" w:rsidRPr="00000000">
        <w:rPr>
          <w:sz w:val="18"/>
          <w:szCs w:val="18"/>
          <w:rtl w:val="0"/>
        </w:rPr>
        <w:t xml:space="preserve">, 2149–2152.</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(6) </w:t>
        <w:tab/>
        <w:t xml:space="preserve">Liu, Z.; Ou, J.; Samy, R.; Glawdel, T.; Huang, T.; Ren, C. L.; Pawliszyn, J. </w:t>
      </w:r>
      <w:r w:rsidDel="00000000" w:rsidR="00000000" w:rsidRPr="00000000">
        <w:rPr>
          <w:i w:val="1"/>
          <w:sz w:val="18"/>
          <w:szCs w:val="18"/>
          <w:rtl w:val="0"/>
        </w:rPr>
        <w:t xml:space="preserve">Lab Chip</w:t>
      </w:r>
      <w:r w:rsidDel="00000000" w:rsidR="00000000" w:rsidRPr="00000000">
        <w:rPr>
          <w:sz w:val="18"/>
          <w:szCs w:val="18"/>
          <w:rtl w:val="0"/>
        </w:rPr>
        <w:t xml:space="preserve"> </w:t>
      </w:r>
      <w:r w:rsidDel="00000000" w:rsidR="00000000" w:rsidRPr="00000000">
        <w:rPr>
          <w:b w:val="1"/>
          <w:sz w:val="18"/>
          <w:szCs w:val="18"/>
          <w:rtl w:val="0"/>
        </w:rPr>
        <w:t xml:space="preserve">2008</w:t>
      </w:r>
      <w:r w:rsidDel="00000000" w:rsidR="00000000" w:rsidRPr="00000000">
        <w:rPr>
          <w:sz w:val="18"/>
          <w:szCs w:val="18"/>
          <w:rtl w:val="0"/>
        </w:rPr>
        <w:t xml:space="preserve">, </w:t>
      </w:r>
      <w:r w:rsidDel="00000000" w:rsidR="00000000" w:rsidRPr="00000000">
        <w:rPr>
          <w:i w:val="1"/>
          <w:sz w:val="18"/>
          <w:szCs w:val="18"/>
          <w:rtl w:val="0"/>
        </w:rPr>
        <w:t xml:space="preserve">8</w:t>
      </w:r>
      <w:r w:rsidDel="00000000" w:rsidR="00000000" w:rsidRPr="00000000">
        <w:rPr>
          <w:sz w:val="18"/>
          <w:szCs w:val="18"/>
          <w:rtl w:val="0"/>
        </w:rPr>
        <w:t xml:space="preserve">, 1738–1741.</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(7) </w:t>
        <w:tab/>
        <w:t xml:space="preserve">J. PAWLISZYN, J. W. </w:t>
      </w:r>
      <w:r w:rsidDel="00000000" w:rsidR="00000000" w:rsidRPr="00000000">
        <w:rPr>
          <w:b w:val="1"/>
          <w:sz w:val="18"/>
          <w:szCs w:val="18"/>
          <w:rtl w:val="0"/>
        </w:rPr>
        <w:t xml:space="preserve">1991</w:t>
      </w:r>
      <w:r w:rsidDel="00000000" w:rsidR="00000000" w:rsidRPr="00000000">
        <w:rPr>
          <w:sz w:val="18"/>
          <w:szCs w:val="18"/>
          <w:rtl w:val="0"/>
        </w:rPr>
        <w:t xml:space="preserve">, </w:t>
      </w:r>
      <w:r w:rsidDel="00000000" w:rsidR="00000000" w:rsidRPr="00000000">
        <w:rPr>
          <w:i w:val="1"/>
          <w:sz w:val="18"/>
          <w:szCs w:val="18"/>
          <w:rtl w:val="0"/>
        </w:rPr>
        <w:t xml:space="preserve">559</w:t>
      </w:r>
      <w:r w:rsidDel="00000000" w:rsidR="00000000" w:rsidRPr="00000000">
        <w:rPr>
          <w:sz w:val="18"/>
          <w:szCs w:val="18"/>
          <w:rtl w:val="0"/>
        </w:rPr>
        <w:t xml:space="preserve">, 111–118.</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(8) </w:t>
        <w:tab/>
        <w:t xml:space="preserve">Lv, H.; Yan, W.; Yang, X.; Li, J.; Zhu, J. </w:t>
      </w:r>
      <w:r w:rsidDel="00000000" w:rsidR="00000000" w:rsidRPr="00000000">
        <w:rPr>
          <w:i w:val="1"/>
          <w:sz w:val="18"/>
          <w:szCs w:val="18"/>
          <w:rtl w:val="0"/>
        </w:rPr>
        <w:t xml:space="preserve">Meas. Sci. Rev.</w:t>
      </w:r>
      <w:r w:rsidDel="00000000" w:rsidR="00000000" w:rsidRPr="00000000">
        <w:rPr>
          <w:sz w:val="18"/>
          <w:szCs w:val="18"/>
          <w:rtl w:val="0"/>
        </w:rPr>
        <w:t xml:space="preserve"> </w:t>
      </w:r>
      <w:r w:rsidDel="00000000" w:rsidR="00000000" w:rsidRPr="00000000">
        <w:rPr>
          <w:b w:val="1"/>
          <w:sz w:val="18"/>
          <w:szCs w:val="18"/>
          <w:rtl w:val="0"/>
        </w:rPr>
        <w:t xml:space="preserve">2012</w:t>
      </w:r>
      <w:r w:rsidDel="00000000" w:rsidR="00000000" w:rsidRPr="00000000">
        <w:rPr>
          <w:sz w:val="18"/>
          <w:szCs w:val="18"/>
          <w:rtl w:val="0"/>
        </w:rPr>
        <w:t xml:space="preserve">, </w:t>
      </w:r>
      <w:r w:rsidDel="00000000" w:rsidR="00000000" w:rsidRPr="00000000">
        <w:rPr>
          <w:i w:val="1"/>
          <w:sz w:val="18"/>
          <w:szCs w:val="18"/>
          <w:rtl w:val="0"/>
        </w:rPr>
        <w:t xml:space="preserve">12</w:t>
      </w:r>
      <w:r w:rsidDel="00000000" w:rsidR="00000000" w:rsidRPr="00000000">
        <w:rPr>
          <w:sz w:val="18"/>
          <w:szCs w:val="18"/>
          <w:rtl w:val="0"/>
        </w:rPr>
        <w:t xml:space="preserve">, 272–276.</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(9) </w:t>
        <w:tab/>
        <w:t xml:space="preserve">Dada, O. O.; Ramsay, L. M.; Dickerson, J. a; Cermak, N.; Jiang, R.; Zhu, C.; Dovichi, N. J. </w:t>
      </w:r>
      <w:r w:rsidDel="00000000" w:rsidR="00000000" w:rsidRPr="00000000">
        <w:rPr>
          <w:i w:val="1"/>
          <w:sz w:val="18"/>
          <w:szCs w:val="18"/>
          <w:rtl w:val="0"/>
        </w:rPr>
        <w:t xml:space="preserve">Anal. Bioanal. Chem.</w:t>
      </w:r>
      <w:r w:rsidDel="00000000" w:rsidR="00000000" w:rsidRPr="00000000">
        <w:rPr>
          <w:sz w:val="18"/>
          <w:szCs w:val="18"/>
          <w:rtl w:val="0"/>
        </w:rPr>
        <w:t xml:space="preserve"> </w:t>
      </w:r>
      <w:r w:rsidDel="00000000" w:rsidR="00000000" w:rsidRPr="00000000">
        <w:rPr>
          <w:b w:val="1"/>
          <w:sz w:val="18"/>
          <w:szCs w:val="18"/>
          <w:rtl w:val="0"/>
        </w:rPr>
        <w:t xml:space="preserve">2010</w:t>
      </w:r>
      <w:r w:rsidDel="00000000" w:rsidR="00000000" w:rsidRPr="00000000">
        <w:rPr>
          <w:sz w:val="18"/>
          <w:szCs w:val="18"/>
          <w:rtl w:val="0"/>
        </w:rPr>
        <w:t xml:space="preserve">, </w:t>
      </w:r>
      <w:r w:rsidDel="00000000" w:rsidR="00000000" w:rsidRPr="00000000">
        <w:rPr>
          <w:i w:val="1"/>
          <w:sz w:val="18"/>
          <w:szCs w:val="18"/>
          <w:rtl w:val="0"/>
        </w:rPr>
        <w:t xml:space="preserve">397</w:t>
      </w:r>
      <w:r w:rsidDel="00000000" w:rsidR="00000000" w:rsidRPr="00000000">
        <w:rPr>
          <w:sz w:val="18"/>
          <w:szCs w:val="18"/>
          <w:rtl w:val="0"/>
        </w:rPr>
        <w:t xml:space="preserve">, 3305–3310.</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(10) </w:t>
        <w:tab/>
        <w:t xml:space="preserve">Wu, J.; Pawliszyn, J. </w:t>
      </w:r>
      <w:r w:rsidDel="00000000" w:rsidR="00000000" w:rsidRPr="00000000">
        <w:rPr>
          <w:i w:val="1"/>
          <w:sz w:val="18"/>
          <w:szCs w:val="18"/>
          <w:rtl w:val="0"/>
        </w:rPr>
        <w:t xml:space="preserve">Analyst</w:t>
      </w:r>
      <w:r w:rsidDel="00000000" w:rsidR="00000000" w:rsidRPr="00000000">
        <w:rPr>
          <w:sz w:val="18"/>
          <w:szCs w:val="18"/>
          <w:rtl w:val="0"/>
        </w:rPr>
        <w:t xml:space="preserve"> </w:t>
      </w:r>
      <w:r w:rsidDel="00000000" w:rsidR="00000000" w:rsidRPr="00000000">
        <w:rPr>
          <w:b w:val="1"/>
          <w:sz w:val="18"/>
          <w:szCs w:val="18"/>
          <w:rtl w:val="0"/>
        </w:rPr>
        <w:t xml:space="preserve">1995</w:t>
      </w:r>
      <w:r w:rsidDel="00000000" w:rsidR="00000000" w:rsidRPr="00000000">
        <w:rPr>
          <w:sz w:val="18"/>
          <w:szCs w:val="18"/>
          <w:rtl w:val="0"/>
        </w:rPr>
        <w:t xml:space="preserve">, </w:t>
      </w:r>
      <w:r w:rsidDel="00000000" w:rsidR="00000000" w:rsidRPr="00000000">
        <w:rPr>
          <w:i w:val="1"/>
          <w:sz w:val="18"/>
          <w:szCs w:val="18"/>
          <w:rtl w:val="0"/>
        </w:rPr>
        <w:t xml:space="preserve">120</w:t>
      </w:r>
      <w:r w:rsidDel="00000000" w:rsidR="00000000" w:rsidRPr="00000000">
        <w:rPr>
          <w:sz w:val="18"/>
          <w:szCs w:val="18"/>
          <w:rtl w:val="0"/>
        </w:rPr>
        <w:t xml:space="preserve">, 1567–1571.</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(11) </w:t>
        <w:tab/>
        <w:t xml:space="preserve">Ali, I.; Aboul</w:t>
      </w:r>
      <w:r w:rsidDel="00000000" w:rsidR="00000000" w:rsidRPr="00000000">
        <w:rPr>
          <w:rFonts w:ascii="Monaco" w:cs="Monaco" w:eastAsia="Monaco" w:hAnsi="Monaco"/>
          <w:sz w:val="18"/>
          <w:szCs w:val="18"/>
          <w:rtl w:val="0"/>
        </w:rPr>
        <w:t xml:space="preserve">‐</w:t>
      </w:r>
      <w:r w:rsidDel="00000000" w:rsidR="00000000" w:rsidRPr="00000000">
        <w:rPr>
          <w:sz w:val="18"/>
          <w:szCs w:val="18"/>
          <w:rtl w:val="0"/>
        </w:rPr>
        <w:t xml:space="preserve">Enein, H. Y.; Gupta, V. K. </w:t>
      </w:r>
      <w:r w:rsidDel="00000000" w:rsidR="00000000" w:rsidRPr="00000000">
        <w:rPr>
          <w:i w:val="1"/>
          <w:sz w:val="18"/>
          <w:szCs w:val="18"/>
          <w:rtl w:val="0"/>
        </w:rPr>
        <w:t xml:space="preserve">Anal. Lett.</w:t>
      </w:r>
      <w:r w:rsidDel="00000000" w:rsidR="00000000" w:rsidRPr="00000000">
        <w:rPr>
          <w:sz w:val="18"/>
          <w:szCs w:val="18"/>
          <w:rtl w:val="0"/>
        </w:rPr>
        <w:t xml:space="preserve"> </w:t>
      </w:r>
      <w:r w:rsidDel="00000000" w:rsidR="00000000" w:rsidRPr="00000000">
        <w:rPr>
          <w:b w:val="1"/>
          <w:sz w:val="18"/>
          <w:szCs w:val="18"/>
          <w:rtl w:val="0"/>
        </w:rPr>
        <w:t xml:space="preserve">2006</w:t>
      </w:r>
      <w:r w:rsidDel="00000000" w:rsidR="00000000" w:rsidRPr="00000000">
        <w:rPr>
          <w:sz w:val="18"/>
          <w:szCs w:val="18"/>
          <w:rtl w:val="0"/>
        </w:rPr>
        <w:t xml:space="preserve">, </w:t>
      </w:r>
      <w:r w:rsidDel="00000000" w:rsidR="00000000" w:rsidRPr="00000000">
        <w:rPr>
          <w:i w:val="1"/>
          <w:sz w:val="18"/>
          <w:szCs w:val="18"/>
          <w:rtl w:val="0"/>
        </w:rPr>
        <w:t xml:space="preserve">39</w:t>
      </w:r>
      <w:r w:rsidDel="00000000" w:rsidR="00000000" w:rsidRPr="00000000">
        <w:rPr>
          <w:sz w:val="18"/>
          <w:szCs w:val="18"/>
          <w:rtl w:val="0"/>
        </w:rPr>
        <w:t xml:space="preserve">, 2345–2357.</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(12) </w:t>
        <w:tab/>
        <w:t xml:space="preserve">Kamholz,  a E.; Schilling, E. a; Yager, P. </w:t>
      </w:r>
      <w:r w:rsidDel="00000000" w:rsidR="00000000" w:rsidRPr="00000000">
        <w:rPr>
          <w:i w:val="1"/>
          <w:sz w:val="18"/>
          <w:szCs w:val="18"/>
          <w:rtl w:val="0"/>
        </w:rPr>
        <w:t xml:space="preserve">Biophys. J.</w:t>
      </w:r>
      <w:r w:rsidDel="00000000" w:rsidR="00000000" w:rsidRPr="00000000">
        <w:rPr>
          <w:sz w:val="18"/>
          <w:szCs w:val="18"/>
          <w:rtl w:val="0"/>
        </w:rPr>
        <w:t xml:space="preserve"> </w:t>
      </w:r>
      <w:r w:rsidDel="00000000" w:rsidR="00000000" w:rsidRPr="00000000">
        <w:rPr>
          <w:b w:val="1"/>
          <w:sz w:val="18"/>
          <w:szCs w:val="18"/>
          <w:rtl w:val="0"/>
        </w:rPr>
        <w:t xml:space="preserve">2001</w:t>
      </w:r>
      <w:r w:rsidDel="00000000" w:rsidR="00000000" w:rsidRPr="00000000">
        <w:rPr>
          <w:sz w:val="18"/>
          <w:szCs w:val="18"/>
          <w:rtl w:val="0"/>
        </w:rPr>
        <w:t xml:space="preserve">, </w:t>
      </w:r>
      <w:r w:rsidDel="00000000" w:rsidR="00000000" w:rsidRPr="00000000">
        <w:rPr>
          <w:i w:val="1"/>
          <w:sz w:val="18"/>
          <w:szCs w:val="18"/>
          <w:rtl w:val="0"/>
        </w:rPr>
        <w:t xml:space="preserve">80</w:t>
      </w:r>
      <w:r w:rsidDel="00000000" w:rsidR="00000000" w:rsidRPr="00000000">
        <w:rPr>
          <w:sz w:val="18"/>
          <w:szCs w:val="18"/>
          <w:rtl w:val="0"/>
        </w:rPr>
        <w:t xml:space="preserve">, 1967–1972.</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(13) </w:t>
        <w:tab/>
        <w:t xml:space="preserve">Kamholz, A. E.; Weigl, B. H.; Finlayson, B. a.; Yager, P. </w:t>
      </w:r>
      <w:r w:rsidDel="00000000" w:rsidR="00000000" w:rsidRPr="00000000">
        <w:rPr>
          <w:i w:val="1"/>
          <w:sz w:val="18"/>
          <w:szCs w:val="18"/>
          <w:rtl w:val="0"/>
        </w:rPr>
        <w:t xml:space="preserve">Anal. Chem.</w:t>
      </w:r>
      <w:r w:rsidDel="00000000" w:rsidR="00000000" w:rsidRPr="00000000">
        <w:rPr>
          <w:sz w:val="18"/>
          <w:szCs w:val="18"/>
          <w:rtl w:val="0"/>
        </w:rPr>
        <w:t xml:space="preserve"> </w:t>
      </w:r>
      <w:r w:rsidDel="00000000" w:rsidR="00000000" w:rsidRPr="00000000">
        <w:rPr>
          <w:b w:val="1"/>
          <w:sz w:val="18"/>
          <w:szCs w:val="18"/>
          <w:rtl w:val="0"/>
        </w:rPr>
        <w:t xml:space="preserve">1999</w:t>
      </w:r>
      <w:r w:rsidDel="00000000" w:rsidR="00000000" w:rsidRPr="00000000">
        <w:rPr>
          <w:sz w:val="18"/>
          <w:szCs w:val="18"/>
          <w:rtl w:val="0"/>
        </w:rPr>
        <w:t xml:space="preserve">, </w:t>
      </w:r>
      <w:r w:rsidDel="00000000" w:rsidR="00000000" w:rsidRPr="00000000">
        <w:rPr>
          <w:i w:val="1"/>
          <w:sz w:val="18"/>
          <w:szCs w:val="18"/>
          <w:rtl w:val="0"/>
        </w:rPr>
        <w:t xml:space="preserve">71</w:t>
      </w:r>
      <w:r w:rsidDel="00000000" w:rsidR="00000000" w:rsidRPr="00000000">
        <w:rPr>
          <w:sz w:val="18"/>
          <w:szCs w:val="18"/>
          <w:rtl w:val="0"/>
        </w:rPr>
        <w:t xml:space="preserve">, 5340–5347.</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(14) </w:t>
        <w:tab/>
        <w:t xml:space="preserve">Wu, J.; Pawliszyn, J. </w:t>
      </w:r>
      <w:r w:rsidDel="00000000" w:rsidR="00000000" w:rsidRPr="00000000">
        <w:rPr>
          <w:i w:val="1"/>
          <w:sz w:val="18"/>
          <w:szCs w:val="18"/>
          <w:rtl w:val="0"/>
        </w:rPr>
        <w:t xml:space="preserve">Anal. Chem.</w:t>
      </w:r>
      <w:r w:rsidDel="00000000" w:rsidR="00000000" w:rsidRPr="00000000">
        <w:rPr>
          <w:sz w:val="18"/>
          <w:szCs w:val="18"/>
          <w:rtl w:val="0"/>
        </w:rPr>
        <w:t xml:space="preserve"> </w:t>
      </w:r>
      <w:r w:rsidDel="00000000" w:rsidR="00000000" w:rsidRPr="00000000">
        <w:rPr>
          <w:b w:val="1"/>
          <w:sz w:val="18"/>
          <w:szCs w:val="18"/>
          <w:rtl w:val="0"/>
        </w:rPr>
        <w:t xml:space="preserve">1992</w:t>
      </w:r>
      <w:r w:rsidDel="00000000" w:rsidR="00000000" w:rsidRPr="00000000">
        <w:rPr>
          <w:sz w:val="18"/>
          <w:szCs w:val="18"/>
          <w:rtl w:val="0"/>
        </w:rPr>
        <w:t xml:space="preserve">, </w:t>
      </w:r>
      <w:r w:rsidDel="00000000" w:rsidR="00000000" w:rsidRPr="00000000">
        <w:rPr>
          <w:i w:val="1"/>
          <w:sz w:val="18"/>
          <w:szCs w:val="18"/>
          <w:rtl w:val="0"/>
        </w:rPr>
        <w:t xml:space="preserve">64</w:t>
      </w:r>
      <w:r w:rsidDel="00000000" w:rsidR="00000000" w:rsidRPr="00000000">
        <w:rPr>
          <w:sz w:val="18"/>
          <w:szCs w:val="18"/>
          <w:rtl w:val="0"/>
        </w:rPr>
        <w:t xml:space="preserve">, 219–224.</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(15) </w:t>
        <w:tab/>
        <w:t xml:space="preserve">Ye, F.; Jensen, H.; Larsen, S. W.; Yaghmur, A.; Larsen, C.; Østergaard, J. </w:t>
      </w:r>
      <w:r w:rsidDel="00000000" w:rsidR="00000000" w:rsidRPr="00000000">
        <w:rPr>
          <w:i w:val="1"/>
          <w:sz w:val="18"/>
          <w:szCs w:val="18"/>
          <w:rtl w:val="0"/>
        </w:rPr>
        <w:t xml:space="preserve">J. Pharm. Biomed. Anal.</w:t>
      </w:r>
      <w:r w:rsidDel="00000000" w:rsidR="00000000" w:rsidRPr="00000000">
        <w:rPr>
          <w:sz w:val="18"/>
          <w:szCs w:val="18"/>
          <w:rtl w:val="0"/>
        </w:rPr>
        <w:t xml:space="preserve"> </w:t>
      </w:r>
      <w:r w:rsidDel="00000000" w:rsidR="00000000" w:rsidRPr="00000000">
        <w:rPr>
          <w:b w:val="1"/>
          <w:sz w:val="18"/>
          <w:szCs w:val="18"/>
          <w:rtl w:val="0"/>
        </w:rPr>
        <w:t xml:space="preserve">2012</w:t>
      </w:r>
      <w:r w:rsidDel="00000000" w:rsidR="00000000" w:rsidRPr="00000000">
        <w:rPr>
          <w:sz w:val="18"/>
          <w:szCs w:val="18"/>
          <w:rtl w:val="0"/>
        </w:rPr>
        <w:t xml:space="preserve">, </w:t>
      </w:r>
      <w:r w:rsidDel="00000000" w:rsidR="00000000" w:rsidRPr="00000000">
        <w:rPr>
          <w:i w:val="1"/>
          <w:sz w:val="18"/>
          <w:szCs w:val="18"/>
          <w:rtl w:val="0"/>
        </w:rPr>
        <w:t xml:space="preserve">61</w:t>
      </w:r>
      <w:r w:rsidDel="00000000" w:rsidR="00000000" w:rsidRPr="00000000">
        <w:rPr>
          <w:sz w:val="18"/>
          <w:szCs w:val="18"/>
          <w:rtl w:val="0"/>
        </w:rPr>
        <w:t xml:space="preserve">, 176–183.</w:t>
      </w:r>
    </w:p>
    <w:p w:rsidR="00000000" w:rsidDel="00000000" w:rsidP="00000000" w:rsidRDefault="00000000" w:rsidRPr="00000000">
      <w:pPr>
        <w:widowControl w:val="0"/>
        <w:spacing w:after="0" w:lineRule="auto"/>
        <w:ind w:left="640" w:hanging="640"/>
        <w:contextualSpacing w:val="0"/>
        <w:rPr>
          <w:sz w:val="18"/>
          <w:szCs w:val="18"/>
        </w:rPr>
      </w:pPr>
      <w:r w:rsidDel="00000000" w:rsidR="00000000" w:rsidRPr="00000000">
        <w:rPr>
          <w:sz w:val="18"/>
          <w:szCs w:val="18"/>
          <w:rtl w:val="0"/>
        </w:rPr>
        <w:t xml:space="preserve">(16) </w:t>
        <w:tab/>
        <w:t xml:space="preserve">Liu, Z.; Lemma, T.; Pawliszyn, J. </w:t>
      </w:r>
      <w:r w:rsidDel="00000000" w:rsidR="00000000" w:rsidRPr="00000000">
        <w:rPr>
          <w:i w:val="1"/>
          <w:sz w:val="18"/>
          <w:szCs w:val="18"/>
          <w:rtl w:val="0"/>
        </w:rPr>
        <w:t xml:space="preserve">J. Proteome Res.</w:t>
      </w:r>
      <w:r w:rsidDel="00000000" w:rsidR="00000000" w:rsidRPr="00000000">
        <w:rPr>
          <w:sz w:val="18"/>
          <w:szCs w:val="18"/>
          <w:rtl w:val="0"/>
        </w:rPr>
        <w:t xml:space="preserve"> </w:t>
      </w:r>
      <w:r w:rsidDel="00000000" w:rsidR="00000000" w:rsidRPr="00000000">
        <w:rPr>
          <w:b w:val="1"/>
          <w:sz w:val="18"/>
          <w:szCs w:val="18"/>
          <w:rtl w:val="0"/>
        </w:rPr>
        <w:t xml:space="preserve">2006</w:t>
      </w:r>
      <w:r w:rsidDel="00000000" w:rsidR="00000000" w:rsidRPr="00000000">
        <w:rPr>
          <w:sz w:val="18"/>
          <w:szCs w:val="18"/>
          <w:rtl w:val="0"/>
        </w:rPr>
        <w:t xml:space="preserve">, </w:t>
      </w:r>
      <w:r w:rsidDel="00000000" w:rsidR="00000000" w:rsidRPr="00000000">
        <w:rPr>
          <w:i w:val="1"/>
          <w:sz w:val="18"/>
          <w:szCs w:val="18"/>
          <w:rtl w:val="0"/>
        </w:rPr>
        <w:t xml:space="preserve">5</w:t>
      </w:r>
      <w:r w:rsidDel="00000000" w:rsidR="00000000" w:rsidRPr="00000000">
        <w:rPr>
          <w:sz w:val="18"/>
          <w:szCs w:val="18"/>
          <w:rtl w:val="0"/>
        </w:rPr>
        <w:t xml:space="preserve">, 1246–1251.</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7"/>
        <w:contextualSpacing w:val="0"/>
        <w:jc w:val="both"/>
        <w:rPr>
          <w:rFonts w:ascii="Times" w:cs="Times" w:eastAsia="Times" w:hAnsi="Times"/>
          <w:b w:val="0"/>
          <w:i w:val="0"/>
          <w:smallCaps w:val="0"/>
          <w:strike w:val="0"/>
          <w:color w:val="000000"/>
          <w:sz w:val="18"/>
          <w:szCs w:val="18"/>
          <w:u w:val="none"/>
          <w:shd w:fill="auto" w:val="clear"/>
          <w:vertAlign w:val="superscript"/>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87"/>
        <w:contextualSpacing w:val="0"/>
        <w:jc w:val="both"/>
        <w:rPr>
          <w:rFonts w:ascii="Times" w:cs="Times" w:eastAsia="Times" w:hAnsi="Times"/>
          <w:b w:val="0"/>
          <w:i w:val="0"/>
          <w:smallCaps w:val="0"/>
          <w:strike w:val="0"/>
          <w:color w:val="000000"/>
          <w:sz w:val="18"/>
          <w:szCs w:val="18"/>
          <w:u w:val="none"/>
          <w:shd w:fill="auto" w:val="clear"/>
          <w:vertAlign w:val="superscript"/>
        </w:rPr>
      </w:pPr>
      <w:r w:rsidDel="00000000" w:rsidR="00000000" w:rsidRPr="00000000">
        <w:rPr>
          <w:rtl w:val="0"/>
        </w:rPr>
      </w:r>
    </w:p>
    <w:sectPr>
      <w:footerReference r:id="rId12" w:type="default"/>
      <w:footerReference r:id="rId13" w:type="even"/>
      <w:pgSz w:h="15840" w:w="12240"/>
      <w:pgMar w:bottom="720" w:top="720" w:left="1094" w:right="1094"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Cambria"/>
  <w:font w:name="Times New Roman"/>
  <w:font w:name="Gungsuh"/>
  <w:font w:name="Arial"/>
  <w:font w:name="Monaco"/>
  <w:font w:name="ＭＳ ゴシック"/>
  <w:font w:name="Times"/>
  <w:font w:name="Noto Sans Symbols"/>
  <w:font w:name="Arno Pro"/>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200" w:before="0" w:line="240" w:lineRule="auto"/>
      <w:ind w:left="0" w:right="0" w:firstLine="0"/>
      <w:contextualSpacing w:val="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200" w:before="0" w:line="240" w:lineRule="auto"/>
      <w:ind w:left="0" w:right="360" w:firstLine="0"/>
      <w:contextualSpacing w:val="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200" w:before="0" w:line="240" w:lineRule="auto"/>
      <w:ind w:left="0" w:right="0" w:firstLine="0"/>
      <w:contextualSpacing w:val="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200" w:before="0" w:line="240" w:lineRule="auto"/>
      <w:ind w:left="0" w:right="360" w:firstLine="0"/>
      <w:contextualSpacing w:val="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w:cs="Times" w:eastAsia="Times" w:hAnsi="Times"/>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contextualSpacing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180" w:lineRule="auto"/>
      <w:ind w:left="480" w:hanging="240"/>
    </w:pPr>
    <w:rPr>
      <w:rFonts w:ascii="Open Sans Light" w:cs="Open Sans Light" w:eastAsia="Open Sans Light" w:hAnsi="Open Sans Light"/>
      <w:b w:val="1"/>
      <w:sz w:val="22"/>
      <w:szCs w:val="22"/>
    </w:rPr>
  </w:style>
  <w:style w:type="paragraph" w:styleId="Heading2">
    <w:name w:val="heading 2"/>
    <w:basedOn w:val="Normal"/>
    <w:next w:val="Normal"/>
    <w:pPr>
      <w:keepNext w:val="1"/>
      <w:spacing w:after="60" w:before="60" w:lineRule="auto"/>
    </w:pPr>
    <w:rPr>
      <w:rFonts w:ascii="Open Sans Light" w:cs="Open Sans Light" w:eastAsia="Open Sans Light" w:hAnsi="Open Sans Light"/>
      <w:b w:val="1"/>
      <w:sz w:val="20"/>
      <w:szCs w:val="20"/>
    </w:rPr>
  </w:style>
  <w:style w:type="paragraph" w:styleId="Heading3">
    <w:name w:val="heading 3"/>
    <w:basedOn w:val="Normal"/>
    <w:next w:val="Normal"/>
    <w:pPr>
      <w:keepNext w:val="1"/>
      <w:spacing w:after="60" w:before="60" w:lineRule="auto"/>
      <w:ind w:left="180" w:firstLine="0"/>
    </w:pPr>
    <w:rPr>
      <w:rFonts w:ascii="Open Sans Light" w:cs="Open Sans Light" w:eastAsia="Open Sans Light" w:hAnsi="Open Sans Light"/>
      <w:b w:val="1"/>
      <w:sz w:val="20"/>
      <w:szCs w:val="20"/>
    </w:rPr>
  </w:style>
  <w:style w:type="paragraph" w:styleId="Heading4">
    <w:name w:val="heading 4"/>
    <w:basedOn w:val="Normal"/>
    <w:next w:val="Normal"/>
    <w:pPr>
      <w:keepNext w:val="1"/>
      <w:keepLines w:val="1"/>
      <w:spacing w:after="0" w:before="200" w:line="259" w:lineRule="auto"/>
      <w:ind w:left="864" w:hanging="864"/>
      <w:jc w:val="left"/>
    </w:pPr>
    <w:rPr>
      <w:rFonts w:ascii="Calibri" w:cs="Calibri" w:eastAsia="Calibri" w:hAnsi="Calibri"/>
      <w:b w:val="1"/>
      <w:i w:val="1"/>
      <w:color w:val="4f81bd"/>
      <w:sz w:val="22"/>
      <w:szCs w:val="22"/>
    </w:rPr>
  </w:style>
  <w:style w:type="paragraph" w:styleId="Heading5">
    <w:name w:val="heading 5"/>
    <w:basedOn w:val="Normal"/>
    <w:next w:val="Normal"/>
    <w:pPr>
      <w:keepNext w:val="1"/>
      <w:keepLines w:val="1"/>
      <w:spacing w:after="0" w:before="200" w:line="259" w:lineRule="auto"/>
      <w:ind w:left="1008" w:hanging="1008"/>
      <w:jc w:val="left"/>
    </w:pPr>
    <w:rPr>
      <w:rFonts w:ascii="Calibri" w:cs="Calibri" w:eastAsia="Calibri" w:hAnsi="Calibri"/>
      <w:color w:val="243f61"/>
      <w:sz w:val="22"/>
      <w:szCs w:val="22"/>
    </w:rPr>
  </w:style>
  <w:style w:type="paragraph" w:styleId="Heading6">
    <w:name w:val="heading 6"/>
    <w:basedOn w:val="Normal"/>
    <w:next w:val="Normal"/>
    <w:pPr>
      <w:keepNext w:val="1"/>
      <w:keepLines w:val="1"/>
      <w:spacing w:after="0" w:before="200" w:line="259" w:lineRule="auto"/>
      <w:ind w:left="1152" w:hanging="1152"/>
      <w:jc w:val="left"/>
    </w:pPr>
    <w:rPr>
      <w:rFonts w:ascii="Calibri" w:cs="Calibri" w:eastAsia="Calibri" w:hAnsi="Calibri"/>
      <w:i w:val="1"/>
      <w:color w:val="243f61"/>
      <w:sz w:val="22"/>
      <w:szCs w:val="22"/>
    </w:rPr>
  </w:style>
  <w:style w:type="paragraph" w:styleId="Title">
    <w:name w:val="Title"/>
    <w:basedOn w:val="Normal"/>
    <w:next w:val="Normal"/>
    <w:pPr>
      <w:spacing w:after="0" w:lineRule="auto"/>
      <w:contextualSpacing w:val="1"/>
      <w:jc w:val="left"/>
    </w:pPr>
    <w:rPr>
      <w:rFonts w:ascii="Calibri" w:cs="Calibri" w:eastAsia="Calibri" w:hAnsi="Calibri"/>
      <w:sz w:val="56"/>
      <w:szCs w:val="56"/>
    </w:rPr>
  </w:style>
  <w:style w:type="paragraph" w:styleId="Subtitle">
    <w:name w:val="Subtitle"/>
    <w:basedOn w:val="Normal"/>
    <w:next w:val="Normal"/>
    <w:pPr>
      <w:spacing w:after="160" w:line="259" w:lineRule="auto"/>
      <w:jc w:val="left"/>
    </w:pPr>
    <w:rPr>
      <w:rFonts w:ascii="Cambria" w:cs="Cambria" w:eastAsia="Cambria" w:hAnsi="Cambria"/>
      <w:color w:val="5a5a5a"/>
      <w:sz w:val="22"/>
      <w:szCs w:val="22"/>
    </w:rPr>
  </w:style>
  <w:style w:type="table" w:styleId="Table1">
    <w:basedOn w:val="TableNormal"/>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2.png"/><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6.png"/><Relationship Id="rId5" Type="http://schemas.openxmlformats.org/officeDocument/2006/relationships/hyperlink" Target="mailto:janusz@uwaterloo.ca" TargetMode="External"/><Relationship Id="rId6" Type="http://schemas.openxmlformats.org/officeDocument/2006/relationships/image" Target="media/image10.png"/><Relationship Id="rId7" Type="http://schemas.openxmlformats.org/officeDocument/2006/relationships/image" Target="media/image4.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CambriaMath-regular.ttf"/></Relationships>
</file>