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ACD1" w14:textId="77777777" w:rsidR="003F3480" w:rsidRDefault="003F3480" w:rsidP="000C53BC">
      <w:pPr>
        <w:pStyle w:val="SingleLine"/>
        <w:spacing w:line="480" w:lineRule="auto"/>
      </w:pPr>
    </w:p>
    <w:p w14:paraId="5E9CA331" w14:textId="77777777" w:rsidR="003F3480" w:rsidRDefault="003F3480" w:rsidP="000C53BC">
      <w:pPr>
        <w:pStyle w:val="SingleLine"/>
        <w:spacing w:line="480" w:lineRule="auto"/>
      </w:pPr>
    </w:p>
    <w:p w14:paraId="7F24BE6E" w14:textId="0F44D386" w:rsidR="003F3480" w:rsidRDefault="00541E77" w:rsidP="00562B91">
      <w:pPr>
        <w:pStyle w:val="Title"/>
        <w:spacing w:line="276" w:lineRule="auto"/>
      </w:pPr>
      <w:r>
        <w:t xml:space="preserve">Flying on the Edge: </w:t>
      </w:r>
      <w:r w:rsidR="00494BCD">
        <w:t xml:space="preserve">Adaptive </w:t>
      </w:r>
      <w:r>
        <w:t xml:space="preserve">Coastal </w:t>
      </w:r>
      <w:r w:rsidR="00494BCD">
        <w:t>Governance</w:t>
      </w:r>
      <w:r>
        <w:t xml:space="preserve"> and Shorebird Conservation in the Fraser River Estuary</w:t>
      </w:r>
    </w:p>
    <w:p w14:paraId="3FAA860F" w14:textId="77777777" w:rsidR="003F3480" w:rsidRDefault="003F3480" w:rsidP="000C53BC">
      <w:pPr>
        <w:pStyle w:val="SingleLine"/>
        <w:spacing w:line="480" w:lineRule="auto"/>
      </w:pPr>
    </w:p>
    <w:p w14:paraId="0BE5D048" w14:textId="77777777" w:rsidR="00282636" w:rsidRDefault="00282636" w:rsidP="000C53BC">
      <w:pPr>
        <w:pStyle w:val="SingleLine"/>
        <w:spacing w:line="480" w:lineRule="auto"/>
      </w:pPr>
      <w:r>
        <w:t>by</w:t>
      </w:r>
    </w:p>
    <w:p w14:paraId="0A74240A" w14:textId="77777777" w:rsidR="00282636" w:rsidRDefault="00282636" w:rsidP="000C53BC">
      <w:pPr>
        <w:pStyle w:val="SingleLine"/>
        <w:spacing w:line="480" w:lineRule="auto"/>
      </w:pPr>
    </w:p>
    <w:p w14:paraId="24974ADB" w14:textId="77777777" w:rsidR="00282636" w:rsidRDefault="00282636" w:rsidP="000C53BC">
      <w:pPr>
        <w:pStyle w:val="SingleLine"/>
        <w:spacing w:line="480" w:lineRule="auto"/>
      </w:pPr>
    </w:p>
    <w:p w14:paraId="5B1F8860" w14:textId="2A9DDF0A" w:rsidR="00282636" w:rsidRDefault="005E0D88" w:rsidP="000C53BC">
      <w:pPr>
        <w:pStyle w:val="SingleLine"/>
        <w:spacing w:line="480" w:lineRule="auto"/>
      </w:pPr>
      <w:r>
        <w:t>Emma Katharine Kirke</w:t>
      </w:r>
    </w:p>
    <w:p w14:paraId="4DAB2949" w14:textId="77777777" w:rsidR="00282636" w:rsidRDefault="00282636" w:rsidP="00562B91">
      <w:pPr>
        <w:pStyle w:val="SingleLine"/>
        <w:spacing w:line="480" w:lineRule="auto"/>
        <w:jc w:val="left"/>
      </w:pPr>
    </w:p>
    <w:p w14:paraId="3A5BB102" w14:textId="77777777" w:rsidR="00282636" w:rsidRDefault="00282636" w:rsidP="00562B91">
      <w:pPr>
        <w:pStyle w:val="SingleLine"/>
      </w:pPr>
    </w:p>
    <w:p w14:paraId="6AA26B3F" w14:textId="77777777" w:rsidR="00282636" w:rsidRDefault="00282636" w:rsidP="00562B91">
      <w:pPr>
        <w:pStyle w:val="SingleLine"/>
      </w:pPr>
      <w:r>
        <w:t>A thesis</w:t>
      </w:r>
    </w:p>
    <w:p w14:paraId="73F941B3" w14:textId="77777777" w:rsidR="00282636" w:rsidRDefault="00282636" w:rsidP="00562B91">
      <w:pPr>
        <w:pStyle w:val="SingleLine"/>
      </w:pPr>
      <w:r>
        <w:t>presented to the University of Waterloo</w:t>
      </w:r>
    </w:p>
    <w:p w14:paraId="3C5A6CDC" w14:textId="77777777" w:rsidR="00282636" w:rsidRDefault="00282636" w:rsidP="00562B91">
      <w:pPr>
        <w:pStyle w:val="SingleLine"/>
      </w:pPr>
      <w:r>
        <w:t>in fulfillment of the</w:t>
      </w:r>
    </w:p>
    <w:p w14:paraId="740EFF12" w14:textId="77777777" w:rsidR="00282636" w:rsidRDefault="00282636" w:rsidP="00562B91">
      <w:pPr>
        <w:pStyle w:val="SingleLine"/>
      </w:pPr>
      <w:r>
        <w:t>thesis requirement for the degree of</w:t>
      </w:r>
    </w:p>
    <w:p w14:paraId="7E5C5CDB" w14:textId="3FAA21A8" w:rsidR="00282636" w:rsidRDefault="005E0D88" w:rsidP="00562B91">
      <w:pPr>
        <w:pStyle w:val="SingleLine"/>
      </w:pPr>
      <w:r>
        <w:t>Bachelor</w:t>
      </w:r>
      <w:r w:rsidR="00ED08FB">
        <w:t xml:space="preserve"> of Environmental Studies</w:t>
      </w:r>
    </w:p>
    <w:p w14:paraId="38633F8F" w14:textId="77777777" w:rsidR="00282636" w:rsidRDefault="00282636" w:rsidP="00562B91">
      <w:pPr>
        <w:pStyle w:val="SingleLine"/>
      </w:pPr>
      <w:r>
        <w:t>in</w:t>
      </w:r>
    </w:p>
    <w:p w14:paraId="528A307B" w14:textId="1F59C1B2" w:rsidR="00282636" w:rsidRDefault="005E0D88" w:rsidP="00562B91">
      <w:pPr>
        <w:pStyle w:val="SingleLine"/>
      </w:pPr>
      <w:r>
        <w:t xml:space="preserve">Environment, Resource and Sustainability  </w:t>
      </w:r>
    </w:p>
    <w:p w14:paraId="1A72CF3A" w14:textId="77777777" w:rsidR="00282636" w:rsidRDefault="00282636" w:rsidP="00562B91">
      <w:pPr>
        <w:pStyle w:val="SingleLine"/>
      </w:pPr>
    </w:p>
    <w:p w14:paraId="4184B72B" w14:textId="77777777" w:rsidR="00282636" w:rsidRDefault="00282636" w:rsidP="00562B91">
      <w:pPr>
        <w:pStyle w:val="SingleLine"/>
      </w:pPr>
    </w:p>
    <w:p w14:paraId="1B73B0F5" w14:textId="77777777" w:rsidR="00282636" w:rsidRDefault="00282636" w:rsidP="00562B91">
      <w:pPr>
        <w:pStyle w:val="SingleLine"/>
      </w:pPr>
    </w:p>
    <w:p w14:paraId="405873A8" w14:textId="620BDB60" w:rsidR="00282636" w:rsidRPr="00FE0C8D" w:rsidRDefault="00282636" w:rsidP="00562B91">
      <w:pPr>
        <w:pStyle w:val="SingleLine"/>
      </w:pPr>
      <w:r>
        <w:t xml:space="preserve">Waterloo, Ontario, Canada, </w:t>
      </w:r>
      <w:r w:rsidR="005E0D88">
        <w:t>2023</w:t>
      </w:r>
    </w:p>
    <w:p w14:paraId="1C59C6E8" w14:textId="77777777" w:rsidR="00282636" w:rsidRDefault="00282636" w:rsidP="00562B91">
      <w:pPr>
        <w:spacing w:line="360" w:lineRule="auto"/>
        <w:jc w:val="center"/>
        <w:rPr>
          <w:u w:val="single"/>
        </w:rPr>
      </w:pPr>
    </w:p>
    <w:p w14:paraId="3B3061B6" w14:textId="77777777" w:rsidR="00282636" w:rsidRDefault="00282636" w:rsidP="00562B91">
      <w:pPr>
        <w:spacing w:line="360" w:lineRule="auto"/>
        <w:jc w:val="center"/>
      </w:pPr>
    </w:p>
    <w:p w14:paraId="0E7FDE34" w14:textId="5D085E38" w:rsidR="00E82928" w:rsidRDefault="00282636" w:rsidP="00562B91">
      <w:pPr>
        <w:pStyle w:val="SingleLine"/>
        <w:sectPr w:rsidR="00E82928" w:rsidSect="00225CFA">
          <w:pgSz w:w="12240" w:h="15840" w:code="1"/>
          <w:pgMar w:top="1440" w:right="1440" w:bottom="1440" w:left="2160" w:header="720" w:footer="720" w:gutter="0"/>
          <w:pgNumType w:fmt="lowerRoman" w:start="1"/>
          <w:cols w:space="720"/>
          <w:docGrid w:linePitch="360"/>
        </w:sectPr>
      </w:pPr>
      <w:r>
        <w:t>©</w:t>
      </w:r>
      <w:r w:rsidR="005E0D88">
        <w:t>Emma Kirke</w:t>
      </w:r>
      <w:r>
        <w:t xml:space="preserve"> </w:t>
      </w:r>
      <w:r w:rsidR="005E0D88">
        <w:t>2023</w:t>
      </w:r>
    </w:p>
    <w:p w14:paraId="5F0B62AC" w14:textId="77777777" w:rsidR="00E82928" w:rsidRPr="00E82928" w:rsidRDefault="00E82928" w:rsidP="000C53BC">
      <w:pPr>
        <w:pStyle w:val="NormalNI"/>
        <w:spacing w:line="480" w:lineRule="auto"/>
      </w:pPr>
    </w:p>
    <w:p w14:paraId="4F1B024E" w14:textId="7D40AFE8" w:rsidR="00282636" w:rsidRDefault="00282636" w:rsidP="000C53BC">
      <w:pPr>
        <w:pStyle w:val="Heading1Front"/>
        <w:spacing w:line="480" w:lineRule="auto"/>
      </w:pPr>
      <w:bookmarkStart w:id="0" w:name="_Toc133020818"/>
      <w:r>
        <w:lastRenderedPageBreak/>
        <w:t>AUTHOR’S DECLARATION</w:t>
      </w:r>
      <w:bookmarkEnd w:id="0"/>
    </w:p>
    <w:p w14:paraId="5A344466" w14:textId="77777777" w:rsidR="00282636" w:rsidRDefault="00282636" w:rsidP="000C53BC">
      <w:pPr>
        <w:pStyle w:val="NormalNI"/>
        <w:spacing w:line="480" w:lineRule="auto"/>
      </w:pPr>
      <w:r>
        <w:t>I hereby declare that I am the sole author of this thesis. This is a true copy of the thesis, including any required final revisions, as accepted by my examiners.</w:t>
      </w:r>
    </w:p>
    <w:p w14:paraId="2230E3A2" w14:textId="77777777" w:rsidR="00282636" w:rsidRPr="00282636" w:rsidRDefault="00282636" w:rsidP="000C53BC">
      <w:pPr>
        <w:pStyle w:val="NormalNI"/>
        <w:spacing w:line="480" w:lineRule="auto"/>
      </w:pPr>
      <w:r>
        <w:t>I understand that my thesis may be made electronically available to the public.</w:t>
      </w:r>
    </w:p>
    <w:p w14:paraId="48998AE1" w14:textId="77777777" w:rsidR="00816936" w:rsidRDefault="00C92429" w:rsidP="000C53BC">
      <w:pPr>
        <w:pStyle w:val="Heading1Front"/>
        <w:spacing w:line="480" w:lineRule="auto"/>
      </w:pPr>
      <w:bookmarkStart w:id="1" w:name="_Toc133020819"/>
      <w:r>
        <w:lastRenderedPageBreak/>
        <w:t>Abstract</w:t>
      </w:r>
      <w:bookmarkEnd w:id="1"/>
    </w:p>
    <w:p w14:paraId="66CB1F42" w14:textId="77777777" w:rsidR="004740E0" w:rsidRPr="004740E0" w:rsidRDefault="004740E0" w:rsidP="004740E0">
      <w:pPr>
        <w:autoSpaceDE w:val="0"/>
        <w:autoSpaceDN w:val="0"/>
        <w:adjustRightInd w:val="0"/>
        <w:spacing w:line="480" w:lineRule="auto"/>
        <w:rPr>
          <w:color w:val="000000"/>
        </w:rPr>
      </w:pPr>
      <w:r w:rsidRPr="004740E0">
        <w:rPr>
          <w:color w:val="000000"/>
        </w:rPr>
        <w:t xml:space="preserve">In the Lower Mainland of British Columbia, the Fraser River estuary is a critical site for international biodiversity conservation, particularly that of migratory shorebirds; it also plays a vital role in the coastal resilience of urban communities where millions of people live. Significant research is taking place on the Fraser River estuary addressing biodiversity conservation and coastal resilience planning. This research is only as effective as its ability to inform decision-making governing the estuary. As such, this study sought to answer the question: in examining planning for coastal resilience and migratory shorebird conservation, are current governance arrangements adequate to meet significant threats to the Fraser River estuary and surrounding communities? The analysis in this study of the Fraser River estuary’s management is rooted in an evaluation of its governance system informed by an evaluative framework based on the principles established by the adaptive governance theory. Qualitative data on the Fraser River estuary governance system and the application of the adaptive governance evaluative framework was gathered through a series of semi-structured interviews with experts. </w:t>
      </w:r>
    </w:p>
    <w:p w14:paraId="197B24B5" w14:textId="77777777" w:rsidR="004740E0" w:rsidRPr="004740E0" w:rsidRDefault="004740E0" w:rsidP="004740E0">
      <w:pPr>
        <w:autoSpaceDE w:val="0"/>
        <w:autoSpaceDN w:val="0"/>
        <w:adjustRightInd w:val="0"/>
        <w:spacing w:line="480" w:lineRule="auto"/>
        <w:rPr>
          <w:color w:val="000000"/>
        </w:rPr>
      </w:pPr>
      <w:r w:rsidRPr="004740E0">
        <w:rPr>
          <w:color w:val="000000"/>
        </w:rPr>
        <w:t xml:space="preserve">By grounding the bounded system with an evaluative framework, the case study offers a broader contribution to the body of literature in advancing the understanding of similar governance situations. Creating, testing, and assessing this framework informed by interviews, the study contributes to a better understanding of best practices in applying the adaptive governance theory to assess coastal governance case studies effectively. It also identifies opportunities and gaps in the existing Fraser River estuary governance system, particularly around social learning within institutions and between institutions. Finally, it clarifies the role of biodiversity conservation in coastal resilience planning through the focus on migratory shorebird conservation, including outlining where there is synergy between the two goals and opportunities for collaboration. </w:t>
      </w:r>
    </w:p>
    <w:p w14:paraId="01AE8888" w14:textId="243C05A7" w:rsidR="00A5798A" w:rsidRDefault="004740E0" w:rsidP="004740E0">
      <w:pPr>
        <w:autoSpaceDE w:val="0"/>
        <w:autoSpaceDN w:val="0"/>
        <w:adjustRightInd w:val="0"/>
        <w:spacing w:line="480" w:lineRule="auto"/>
        <w:rPr>
          <w:color w:val="000000"/>
        </w:rPr>
      </w:pPr>
      <w:r w:rsidRPr="004740E0">
        <w:rPr>
          <w:color w:val="000000"/>
        </w:rPr>
        <w:lastRenderedPageBreak/>
        <w:t xml:space="preserve">This study presents a robust assessment of the need for an independent entity to facilitate meaningful, effective, and inclusive collaboration among the many actors involved in the governance of the Fraser River estuary. While limited coordination currently occurs on specific files, broad and meaningful collaboration across sectors is necessary to allow the governance system to prepare effectively for a changing context proactively. </w:t>
      </w:r>
      <w:r w:rsidR="00A5798A">
        <w:rPr>
          <w:color w:val="000000"/>
        </w:rPr>
        <w:t xml:space="preserve">This study presents a robust assessment of the need for an independent entity to facilitate meaningful, effective, and inclusive collaboration among the many actors involved in the governance of the Fraser River estuary. While limited coordination currently takes place on specific files, broad and meaningful collaboration across sectors is necessary to allow the governance system to be proactive in preparing effectively for a changing context. </w:t>
      </w:r>
    </w:p>
    <w:p w14:paraId="3470988B" w14:textId="44249908" w:rsidR="007B7CB7" w:rsidRDefault="00512275" w:rsidP="000C53BC">
      <w:pPr>
        <w:pStyle w:val="Heading1Front"/>
        <w:spacing w:line="480" w:lineRule="auto"/>
      </w:pPr>
      <w:bookmarkStart w:id="2" w:name="_Toc133020820"/>
      <w:r>
        <w:lastRenderedPageBreak/>
        <w:t>Acknowledgements</w:t>
      </w:r>
      <w:bookmarkEnd w:id="2"/>
    </w:p>
    <w:p w14:paraId="5E98E762" w14:textId="6E78EE40" w:rsidR="007A458D" w:rsidRDefault="002B46EF" w:rsidP="000C53BC">
      <w:pPr>
        <w:pStyle w:val="NormalNI"/>
        <w:spacing w:line="480" w:lineRule="auto"/>
      </w:pPr>
      <w:r>
        <w:t xml:space="preserve">I would like to express my gratitude to the many people who </w:t>
      </w:r>
      <w:r w:rsidR="00EB4D02">
        <w:t>contributed to this project</w:t>
      </w:r>
      <w:r w:rsidR="002D194D">
        <w:t>.</w:t>
      </w:r>
    </w:p>
    <w:p w14:paraId="76ABA0B7" w14:textId="2CDA666C" w:rsidR="002B46EF" w:rsidRPr="002D194D" w:rsidRDefault="002B46EF" w:rsidP="002D194D">
      <w:pPr>
        <w:spacing w:line="480" w:lineRule="auto"/>
      </w:pPr>
      <w:r>
        <w:t xml:space="preserve">First, to my supervisor Trevor </w:t>
      </w:r>
      <w:proofErr w:type="spellStart"/>
      <w:r>
        <w:t>Swerdfager</w:t>
      </w:r>
      <w:proofErr w:type="spellEnd"/>
      <w:r w:rsidR="002D194D">
        <w:t>, I am grateful for your guidance through this process that enabled me to get over the finish line of thesis</w:t>
      </w:r>
      <w:r w:rsidR="002C3804">
        <w:t xml:space="preserve"> and to learn from your wealth of experience</w:t>
      </w:r>
      <w:r w:rsidR="004A686C">
        <w:t xml:space="preserve"> along the way</w:t>
      </w:r>
      <w:r w:rsidR="002D194D">
        <w:t xml:space="preserve">. </w:t>
      </w:r>
    </w:p>
    <w:p w14:paraId="59699416" w14:textId="4255EF7C" w:rsidR="002B46EF" w:rsidRDefault="002B46EF" w:rsidP="000C53BC">
      <w:pPr>
        <w:spacing w:line="480" w:lineRule="auto"/>
      </w:pPr>
      <w:r>
        <w:t xml:space="preserve">To my friends and classmates in ERS 403, riding the highs and lows of thesis was a rollercoaster ride I would do again. I am so grateful for the supportive community we became. </w:t>
      </w:r>
    </w:p>
    <w:p w14:paraId="6046879A" w14:textId="3B1BDBFA" w:rsidR="00046049" w:rsidRPr="002B46EF" w:rsidRDefault="00046049" w:rsidP="000C53BC">
      <w:pPr>
        <w:spacing w:line="480" w:lineRule="auto"/>
      </w:pPr>
      <w:r>
        <w:t xml:space="preserve">Last, but not least, I am so grateful for </w:t>
      </w:r>
      <w:r w:rsidR="00862537">
        <w:t xml:space="preserve">and humbled by </w:t>
      </w:r>
      <w:r>
        <w:t xml:space="preserve">the knowledge and expertise that interview participants shared with me. While this topic can be heavy at time, witnessing your shared dedication to </w:t>
      </w:r>
      <w:r w:rsidR="00BE67B3">
        <w:t>conserve</w:t>
      </w:r>
      <w:r>
        <w:t xml:space="preserve"> this ecological gem</w:t>
      </w:r>
      <w:r w:rsidR="00BE67B3">
        <w:t xml:space="preserve"> for future generations and foster resilience in the communities you serve</w:t>
      </w:r>
      <w:r>
        <w:t xml:space="preserve"> i</w:t>
      </w:r>
      <w:r w:rsidR="002D194D">
        <w:t xml:space="preserve">nspires me to continue </w:t>
      </w:r>
      <w:r w:rsidR="000F6D2E">
        <w:t>forward</w:t>
      </w:r>
      <w:r w:rsidR="002D194D">
        <w:t xml:space="preserve"> in this field</w:t>
      </w:r>
      <w:r>
        <w:t xml:space="preserve">. </w:t>
      </w:r>
    </w:p>
    <w:p w14:paraId="4260BC13" w14:textId="77777777" w:rsidR="00512275" w:rsidRDefault="00576EB3" w:rsidP="000C53BC">
      <w:pPr>
        <w:pStyle w:val="Heading1Front"/>
        <w:spacing w:line="480" w:lineRule="auto"/>
      </w:pPr>
      <w:bookmarkStart w:id="3" w:name="_Toc133020821"/>
      <w:r>
        <w:lastRenderedPageBreak/>
        <w:t xml:space="preserve">Table of </w:t>
      </w:r>
      <w:r w:rsidR="006E6C8A">
        <w:t>Contents</w:t>
      </w:r>
      <w:bookmarkEnd w:id="3"/>
    </w:p>
    <w:p w14:paraId="5C0E9952" w14:textId="6279C28E" w:rsidR="002664E4" w:rsidRDefault="00CE6C25">
      <w:pPr>
        <w:pStyle w:val="TOC1"/>
        <w:tabs>
          <w:tab w:val="right" w:leader="dot" w:pos="8630"/>
        </w:tabs>
        <w:rPr>
          <w:rFonts w:asciiTheme="minorHAnsi" w:eastAsiaTheme="minorEastAsia" w:hAnsiTheme="minorHAnsi" w:cstheme="minorBidi"/>
          <w:noProof/>
          <w:kern w:val="2"/>
          <w:sz w:val="24"/>
          <w:szCs w:val="24"/>
          <w:lang w:val="en-CA"/>
          <w14:ligatures w14:val="standardContextual"/>
        </w:rPr>
      </w:pPr>
      <w:r>
        <w:fldChar w:fldCharType="begin"/>
      </w:r>
      <w:r>
        <w:instrText xml:space="preserve"> TOC \o "1-3" \u </w:instrText>
      </w:r>
      <w:r>
        <w:fldChar w:fldCharType="separate"/>
      </w:r>
      <w:r w:rsidR="002664E4">
        <w:rPr>
          <w:noProof/>
        </w:rPr>
        <w:t>AUTHOR’S DECLARATION</w:t>
      </w:r>
      <w:r w:rsidR="002664E4">
        <w:rPr>
          <w:noProof/>
        </w:rPr>
        <w:tab/>
      </w:r>
      <w:r w:rsidR="002664E4">
        <w:rPr>
          <w:noProof/>
        </w:rPr>
        <w:fldChar w:fldCharType="begin"/>
      </w:r>
      <w:r w:rsidR="002664E4">
        <w:rPr>
          <w:noProof/>
        </w:rPr>
        <w:instrText xml:space="preserve"> PAGEREF _Toc133020818 \h </w:instrText>
      </w:r>
      <w:r w:rsidR="002664E4">
        <w:rPr>
          <w:noProof/>
        </w:rPr>
      </w:r>
      <w:r w:rsidR="002664E4">
        <w:rPr>
          <w:noProof/>
        </w:rPr>
        <w:fldChar w:fldCharType="separate"/>
      </w:r>
      <w:r w:rsidR="002664E4">
        <w:rPr>
          <w:noProof/>
        </w:rPr>
        <w:t>2</w:t>
      </w:r>
      <w:r w:rsidR="002664E4">
        <w:rPr>
          <w:noProof/>
        </w:rPr>
        <w:fldChar w:fldCharType="end"/>
      </w:r>
    </w:p>
    <w:p w14:paraId="371CBE19" w14:textId="2BA38510" w:rsidR="002664E4" w:rsidRDefault="002664E4">
      <w:pPr>
        <w:pStyle w:val="TOC1"/>
        <w:tabs>
          <w:tab w:val="right" w:leader="dot" w:pos="8630"/>
        </w:tabs>
        <w:rPr>
          <w:rFonts w:asciiTheme="minorHAnsi" w:eastAsiaTheme="minorEastAsia" w:hAnsiTheme="minorHAnsi" w:cstheme="minorBidi"/>
          <w:noProof/>
          <w:kern w:val="2"/>
          <w:sz w:val="24"/>
          <w:szCs w:val="24"/>
          <w:lang w:val="en-CA"/>
          <w14:ligatures w14:val="standardContextual"/>
        </w:rPr>
      </w:pPr>
      <w:r>
        <w:rPr>
          <w:noProof/>
        </w:rPr>
        <w:t>Abstract</w:t>
      </w:r>
      <w:r>
        <w:rPr>
          <w:noProof/>
        </w:rPr>
        <w:tab/>
      </w:r>
      <w:r>
        <w:rPr>
          <w:noProof/>
        </w:rPr>
        <w:fldChar w:fldCharType="begin"/>
      </w:r>
      <w:r>
        <w:rPr>
          <w:noProof/>
        </w:rPr>
        <w:instrText xml:space="preserve"> PAGEREF _Toc133020819 \h </w:instrText>
      </w:r>
      <w:r>
        <w:rPr>
          <w:noProof/>
        </w:rPr>
      </w:r>
      <w:r>
        <w:rPr>
          <w:noProof/>
        </w:rPr>
        <w:fldChar w:fldCharType="separate"/>
      </w:r>
      <w:r>
        <w:rPr>
          <w:noProof/>
        </w:rPr>
        <w:t>3</w:t>
      </w:r>
      <w:r>
        <w:rPr>
          <w:noProof/>
        </w:rPr>
        <w:fldChar w:fldCharType="end"/>
      </w:r>
    </w:p>
    <w:p w14:paraId="64B5A0B8" w14:textId="6DFEB0CE" w:rsidR="002664E4" w:rsidRDefault="002664E4">
      <w:pPr>
        <w:pStyle w:val="TOC1"/>
        <w:tabs>
          <w:tab w:val="right" w:leader="dot" w:pos="8630"/>
        </w:tabs>
        <w:rPr>
          <w:rFonts w:asciiTheme="minorHAnsi" w:eastAsiaTheme="minorEastAsia" w:hAnsiTheme="minorHAnsi" w:cstheme="minorBidi"/>
          <w:noProof/>
          <w:kern w:val="2"/>
          <w:sz w:val="24"/>
          <w:szCs w:val="24"/>
          <w:lang w:val="en-CA"/>
          <w14:ligatures w14:val="standardContextual"/>
        </w:rPr>
      </w:pPr>
      <w:r>
        <w:rPr>
          <w:noProof/>
        </w:rPr>
        <w:t>Acknowledgements</w:t>
      </w:r>
      <w:r>
        <w:rPr>
          <w:noProof/>
        </w:rPr>
        <w:tab/>
      </w:r>
      <w:r>
        <w:rPr>
          <w:noProof/>
        </w:rPr>
        <w:fldChar w:fldCharType="begin"/>
      </w:r>
      <w:r>
        <w:rPr>
          <w:noProof/>
        </w:rPr>
        <w:instrText xml:space="preserve"> PAGEREF _Toc133020820 \h </w:instrText>
      </w:r>
      <w:r>
        <w:rPr>
          <w:noProof/>
        </w:rPr>
      </w:r>
      <w:r>
        <w:rPr>
          <w:noProof/>
        </w:rPr>
        <w:fldChar w:fldCharType="separate"/>
      </w:r>
      <w:r>
        <w:rPr>
          <w:noProof/>
        </w:rPr>
        <w:t>5</w:t>
      </w:r>
      <w:r>
        <w:rPr>
          <w:noProof/>
        </w:rPr>
        <w:fldChar w:fldCharType="end"/>
      </w:r>
    </w:p>
    <w:p w14:paraId="26E3924E" w14:textId="16090781" w:rsidR="002664E4" w:rsidRDefault="002664E4">
      <w:pPr>
        <w:pStyle w:val="TOC1"/>
        <w:tabs>
          <w:tab w:val="right" w:leader="dot" w:pos="8630"/>
        </w:tabs>
        <w:rPr>
          <w:rFonts w:asciiTheme="minorHAnsi" w:eastAsiaTheme="minorEastAsia" w:hAnsiTheme="minorHAnsi" w:cstheme="minorBidi"/>
          <w:noProof/>
          <w:kern w:val="2"/>
          <w:sz w:val="24"/>
          <w:szCs w:val="24"/>
          <w:lang w:val="en-CA"/>
          <w14:ligatures w14:val="standardContextual"/>
        </w:rPr>
      </w:pPr>
      <w:r>
        <w:rPr>
          <w:noProof/>
        </w:rPr>
        <w:t>Table of Contents</w:t>
      </w:r>
      <w:r>
        <w:rPr>
          <w:noProof/>
        </w:rPr>
        <w:tab/>
      </w:r>
      <w:r>
        <w:rPr>
          <w:noProof/>
        </w:rPr>
        <w:fldChar w:fldCharType="begin"/>
      </w:r>
      <w:r>
        <w:rPr>
          <w:noProof/>
        </w:rPr>
        <w:instrText xml:space="preserve"> PAGEREF _Toc133020821 \h </w:instrText>
      </w:r>
      <w:r>
        <w:rPr>
          <w:noProof/>
        </w:rPr>
      </w:r>
      <w:r>
        <w:rPr>
          <w:noProof/>
        </w:rPr>
        <w:fldChar w:fldCharType="separate"/>
      </w:r>
      <w:r>
        <w:rPr>
          <w:noProof/>
        </w:rPr>
        <w:t>6</w:t>
      </w:r>
      <w:r>
        <w:rPr>
          <w:noProof/>
        </w:rPr>
        <w:fldChar w:fldCharType="end"/>
      </w:r>
    </w:p>
    <w:p w14:paraId="03707D8D" w14:textId="3D7EB3D5"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1</w:t>
      </w:r>
      <w:r>
        <w:rPr>
          <w:rFonts w:asciiTheme="minorHAnsi" w:eastAsiaTheme="minorEastAsia" w:hAnsiTheme="minorHAnsi" w:cstheme="minorBidi"/>
          <w:noProof/>
          <w:kern w:val="2"/>
          <w:sz w:val="24"/>
          <w:szCs w:val="24"/>
          <w:lang w:val="en-CA"/>
          <w14:ligatures w14:val="standardContextual"/>
        </w:rPr>
        <w:tab/>
      </w:r>
      <w:r>
        <w:rPr>
          <w:noProof/>
        </w:rPr>
        <w:t>Chapter 1  Introduction</w:t>
      </w:r>
      <w:r>
        <w:rPr>
          <w:noProof/>
        </w:rPr>
        <w:tab/>
      </w:r>
      <w:r>
        <w:rPr>
          <w:noProof/>
        </w:rPr>
        <w:fldChar w:fldCharType="begin"/>
      </w:r>
      <w:r>
        <w:rPr>
          <w:noProof/>
        </w:rPr>
        <w:instrText xml:space="preserve"> PAGEREF _Toc133020822 \h </w:instrText>
      </w:r>
      <w:r>
        <w:rPr>
          <w:noProof/>
        </w:rPr>
      </w:r>
      <w:r>
        <w:rPr>
          <w:noProof/>
        </w:rPr>
        <w:fldChar w:fldCharType="separate"/>
      </w:r>
      <w:r>
        <w:rPr>
          <w:noProof/>
        </w:rPr>
        <w:t>9</w:t>
      </w:r>
      <w:r>
        <w:rPr>
          <w:noProof/>
        </w:rPr>
        <w:fldChar w:fldCharType="end"/>
      </w:r>
    </w:p>
    <w:p w14:paraId="0D8D3B14" w14:textId="75383DF5"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2</w:t>
      </w:r>
      <w:r>
        <w:rPr>
          <w:rFonts w:asciiTheme="minorHAnsi" w:eastAsiaTheme="minorEastAsia" w:hAnsiTheme="minorHAnsi" w:cstheme="minorBidi"/>
          <w:noProof/>
          <w:kern w:val="2"/>
          <w:sz w:val="24"/>
          <w:szCs w:val="24"/>
          <w:lang w:val="en-CA"/>
          <w14:ligatures w14:val="standardContextual"/>
        </w:rPr>
        <w:tab/>
      </w:r>
      <w:r>
        <w:rPr>
          <w:noProof/>
        </w:rPr>
        <w:t>Chapter 2  Literature Review</w:t>
      </w:r>
      <w:r>
        <w:rPr>
          <w:noProof/>
        </w:rPr>
        <w:tab/>
      </w:r>
      <w:r>
        <w:rPr>
          <w:noProof/>
        </w:rPr>
        <w:fldChar w:fldCharType="begin"/>
      </w:r>
      <w:r>
        <w:rPr>
          <w:noProof/>
        </w:rPr>
        <w:instrText xml:space="preserve"> PAGEREF _Toc133020823 \h </w:instrText>
      </w:r>
      <w:r>
        <w:rPr>
          <w:noProof/>
        </w:rPr>
      </w:r>
      <w:r>
        <w:rPr>
          <w:noProof/>
        </w:rPr>
        <w:fldChar w:fldCharType="separate"/>
      </w:r>
      <w:r>
        <w:rPr>
          <w:noProof/>
        </w:rPr>
        <w:t>12</w:t>
      </w:r>
      <w:r>
        <w:rPr>
          <w:noProof/>
        </w:rPr>
        <w:fldChar w:fldCharType="end"/>
      </w:r>
    </w:p>
    <w:p w14:paraId="7E203239" w14:textId="228C9BEF"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2.1</w:t>
      </w:r>
      <w:r>
        <w:rPr>
          <w:rFonts w:asciiTheme="minorHAnsi" w:eastAsiaTheme="minorEastAsia" w:hAnsiTheme="minorHAnsi" w:cstheme="minorBidi"/>
          <w:noProof/>
          <w:kern w:val="2"/>
          <w:sz w:val="24"/>
          <w:szCs w:val="24"/>
          <w:lang w:val="en-CA"/>
          <w14:ligatures w14:val="standardContextual"/>
        </w:rPr>
        <w:tab/>
      </w:r>
      <w:r>
        <w:rPr>
          <w:noProof/>
        </w:rPr>
        <w:t>Shorebirds</w:t>
      </w:r>
      <w:r>
        <w:rPr>
          <w:noProof/>
        </w:rPr>
        <w:tab/>
      </w:r>
      <w:r>
        <w:rPr>
          <w:noProof/>
        </w:rPr>
        <w:fldChar w:fldCharType="begin"/>
      </w:r>
      <w:r>
        <w:rPr>
          <w:noProof/>
        </w:rPr>
        <w:instrText xml:space="preserve"> PAGEREF _Toc133020824 \h </w:instrText>
      </w:r>
      <w:r>
        <w:rPr>
          <w:noProof/>
        </w:rPr>
      </w:r>
      <w:r>
        <w:rPr>
          <w:noProof/>
        </w:rPr>
        <w:fldChar w:fldCharType="separate"/>
      </w:r>
      <w:r>
        <w:rPr>
          <w:noProof/>
        </w:rPr>
        <w:t>12</w:t>
      </w:r>
      <w:r>
        <w:rPr>
          <w:noProof/>
        </w:rPr>
        <w:fldChar w:fldCharType="end"/>
      </w:r>
    </w:p>
    <w:p w14:paraId="3433AB3F" w14:textId="06E94D3A"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2.1.1</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Shorebirds Habitat and Needs: Fraser River Estuary</w:t>
      </w:r>
      <w:r>
        <w:rPr>
          <w:noProof/>
        </w:rPr>
        <w:tab/>
      </w:r>
      <w:r>
        <w:rPr>
          <w:noProof/>
        </w:rPr>
        <w:fldChar w:fldCharType="begin"/>
      </w:r>
      <w:r>
        <w:rPr>
          <w:noProof/>
        </w:rPr>
        <w:instrText xml:space="preserve"> PAGEREF _Toc133020825 \h </w:instrText>
      </w:r>
      <w:r>
        <w:rPr>
          <w:noProof/>
        </w:rPr>
      </w:r>
      <w:r>
        <w:rPr>
          <w:noProof/>
        </w:rPr>
        <w:fldChar w:fldCharType="separate"/>
      </w:r>
      <w:r>
        <w:rPr>
          <w:noProof/>
        </w:rPr>
        <w:t>13</w:t>
      </w:r>
      <w:r>
        <w:rPr>
          <w:noProof/>
        </w:rPr>
        <w:fldChar w:fldCharType="end"/>
      </w:r>
    </w:p>
    <w:p w14:paraId="3D3D5126" w14:textId="38331E20"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2.1.2</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State of Shorebirds: The Local is the Global</w:t>
      </w:r>
      <w:r>
        <w:rPr>
          <w:noProof/>
        </w:rPr>
        <w:tab/>
      </w:r>
      <w:r>
        <w:rPr>
          <w:noProof/>
        </w:rPr>
        <w:fldChar w:fldCharType="begin"/>
      </w:r>
      <w:r>
        <w:rPr>
          <w:noProof/>
        </w:rPr>
        <w:instrText xml:space="preserve"> PAGEREF _Toc133020826 \h </w:instrText>
      </w:r>
      <w:r>
        <w:rPr>
          <w:noProof/>
        </w:rPr>
      </w:r>
      <w:r>
        <w:rPr>
          <w:noProof/>
        </w:rPr>
        <w:fldChar w:fldCharType="separate"/>
      </w:r>
      <w:r>
        <w:rPr>
          <w:noProof/>
        </w:rPr>
        <w:t>14</w:t>
      </w:r>
      <w:r>
        <w:rPr>
          <w:noProof/>
        </w:rPr>
        <w:fldChar w:fldCharType="end"/>
      </w:r>
    </w:p>
    <w:p w14:paraId="745F00A8" w14:textId="6C4E96E4"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2.2</w:t>
      </w:r>
      <w:r>
        <w:rPr>
          <w:rFonts w:asciiTheme="minorHAnsi" w:eastAsiaTheme="minorEastAsia" w:hAnsiTheme="minorHAnsi" w:cstheme="minorBidi"/>
          <w:noProof/>
          <w:kern w:val="2"/>
          <w:sz w:val="24"/>
          <w:szCs w:val="24"/>
          <w:lang w:val="en-CA"/>
          <w14:ligatures w14:val="standardContextual"/>
        </w:rPr>
        <w:tab/>
      </w:r>
      <w:r>
        <w:rPr>
          <w:noProof/>
        </w:rPr>
        <w:t>Coastal Resilience in the Fraser River Delta</w:t>
      </w:r>
      <w:r>
        <w:rPr>
          <w:noProof/>
        </w:rPr>
        <w:tab/>
      </w:r>
      <w:r>
        <w:rPr>
          <w:noProof/>
        </w:rPr>
        <w:fldChar w:fldCharType="begin"/>
      </w:r>
      <w:r>
        <w:rPr>
          <w:noProof/>
        </w:rPr>
        <w:instrText xml:space="preserve"> PAGEREF _Toc133020827 \h </w:instrText>
      </w:r>
      <w:r>
        <w:rPr>
          <w:noProof/>
        </w:rPr>
      </w:r>
      <w:r>
        <w:rPr>
          <w:noProof/>
        </w:rPr>
        <w:fldChar w:fldCharType="separate"/>
      </w:r>
      <w:r>
        <w:rPr>
          <w:noProof/>
        </w:rPr>
        <w:t>15</w:t>
      </w:r>
      <w:r>
        <w:rPr>
          <w:noProof/>
        </w:rPr>
        <w:fldChar w:fldCharType="end"/>
      </w:r>
    </w:p>
    <w:p w14:paraId="7BA935C6" w14:textId="1792C7D2"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2.2.1</w:t>
      </w:r>
      <w:r>
        <w:rPr>
          <w:rFonts w:asciiTheme="minorHAnsi" w:eastAsiaTheme="minorEastAsia" w:hAnsiTheme="minorHAnsi" w:cstheme="minorBidi"/>
          <w:noProof/>
          <w:kern w:val="2"/>
          <w:sz w:val="24"/>
          <w:szCs w:val="24"/>
          <w:lang w:val="en-CA"/>
          <w14:ligatures w14:val="standardContextual"/>
        </w:rPr>
        <w:tab/>
      </w:r>
      <w:r>
        <w:rPr>
          <w:noProof/>
        </w:rPr>
        <w:t>State of the Coast in the Lower Mainland</w:t>
      </w:r>
      <w:r>
        <w:rPr>
          <w:noProof/>
        </w:rPr>
        <w:tab/>
      </w:r>
      <w:r>
        <w:rPr>
          <w:noProof/>
        </w:rPr>
        <w:fldChar w:fldCharType="begin"/>
      </w:r>
      <w:r>
        <w:rPr>
          <w:noProof/>
        </w:rPr>
        <w:instrText xml:space="preserve"> PAGEREF _Toc133020828 \h </w:instrText>
      </w:r>
      <w:r>
        <w:rPr>
          <w:noProof/>
        </w:rPr>
      </w:r>
      <w:r>
        <w:rPr>
          <w:noProof/>
        </w:rPr>
        <w:fldChar w:fldCharType="separate"/>
      </w:r>
      <w:r>
        <w:rPr>
          <w:noProof/>
        </w:rPr>
        <w:t>15</w:t>
      </w:r>
      <w:r>
        <w:rPr>
          <w:noProof/>
        </w:rPr>
        <w:fldChar w:fldCharType="end"/>
      </w:r>
    </w:p>
    <w:p w14:paraId="2580D9CD" w14:textId="1802CB4E"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2.2.2</w:t>
      </w:r>
      <w:r>
        <w:rPr>
          <w:rFonts w:asciiTheme="minorHAnsi" w:eastAsiaTheme="minorEastAsia" w:hAnsiTheme="minorHAnsi" w:cstheme="minorBidi"/>
          <w:noProof/>
          <w:kern w:val="2"/>
          <w:sz w:val="24"/>
          <w:szCs w:val="24"/>
          <w:lang w:val="en-CA"/>
          <w14:ligatures w14:val="standardContextual"/>
        </w:rPr>
        <w:tab/>
      </w:r>
      <w:r>
        <w:rPr>
          <w:noProof/>
        </w:rPr>
        <w:t>Defining Coastal Resilience</w:t>
      </w:r>
      <w:r>
        <w:rPr>
          <w:noProof/>
        </w:rPr>
        <w:tab/>
      </w:r>
      <w:r>
        <w:rPr>
          <w:noProof/>
        </w:rPr>
        <w:fldChar w:fldCharType="begin"/>
      </w:r>
      <w:r>
        <w:rPr>
          <w:noProof/>
        </w:rPr>
        <w:instrText xml:space="preserve"> PAGEREF _Toc133020829 \h </w:instrText>
      </w:r>
      <w:r>
        <w:rPr>
          <w:noProof/>
        </w:rPr>
      </w:r>
      <w:r>
        <w:rPr>
          <w:noProof/>
        </w:rPr>
        <w:fldChar w:fldCharType="separate"/>
      </w:r>
      <w:r>
        <w:rPr>
          <w:noProof/>
        </w:rPr>
        <w:t>17</w:t>
      </w:r>
      <w:r>
        <w:rPr>
          <w:noProof/>
        </w:rPr>
        <w:fldChar w:fldCharType="end"/>
      </w:r>
    </w:p>
    <w:p w14:paraId="5B306477" w14:textId="3AA460AE"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2.2.3</w:t>
      </w:r>
      <w:r>
        <w:rPr>
          <w:rFonts w:asciiTheme="minorHAnsi" w:eastAsiaTheme="minorEastAsia" w:hAnsiTheme="minorHAnsi" w:cstheme="minorBidi"/>
          <w:noProof/>
          <w:kern w:val="2"/>
          <w:sz w:val="24"/>
          <w:szCs w:val="24"/>
          <w:lang w:val="en-CA"/>
          <w14:ligatures w14:val="standardContextual"/>
        </w:rPr>
        <w:tab/>
      </w:r>
      <w:r>
        <w:rPr>
          <w:noProof/>
        </w:rPr>
        <w:t>Threats to Coastal Resilience</w:t>
      </w:r>
      <w:r>
        <w:rPr>
          <w:noProof/>
        </w:rPr>
        <w:tab/>
      </w:r>
      <w:r>
        <w:rPr>
          <w:noProof/>
        </w:rPr>
        <w:fldChar w:fldCharType="begin"/>
      </w:r>
      <w:r>
        <w:rPr>
          <w:noProof/>
        </w:rPr>
        <w:instrText xml:space="preserve"> PAGEREF _Toc133020830 \h </w:instrText>
      </w:r>
      <w:r>
        <w:rPr>
          <w:noProof/>
        </w:rPr>
      </w:r>
      <w:r>
        <w:rPr>
          <w:noProof/>
        </w:rPr>
        <w:fldChar w:fldCharType="separate"/>
      </w:r>
      <w:r>
        <w:rPr>
          <w:noProof/>
        </w:rPr>
        <w:t>18</w:t>
      </w:r>
      <w:r>
        <w:rPr>
          <w:noProof/>
        </w:rPr>
        <w:fldChar w:fldCharType="end"/>
      </w:r>
    </w:p>
    <w:p w14:paraId="6A8AFEA5" w14:textId="65B52073"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2.3</w:t>
      </w:r>
      <w:r>
        <w:rPr>
          <w:rFonts w:asciiTheme="minorHAnsi" w:eastAsiaTheme="minorEastAsia" w:hAnsiTheme="minorHAnsi" w:cstheme="minorBidi"/>
          <w:noProof/>
          <w:kern w:val="2"/>
          <w:sz w:val="24"/>
          <w:szCs w:val="24"/>
          <w:lang w:val="en-CA"/>
          <w14:ligatures w14:val="standardContextual"/>
        </w:rPr>
        <w:tab/>
      </w:r>
      <w:r>
        <w:rPr>
          <w:noProof/>
        </w:rPr>
        <w:t>Legislative Contexts</w:t>
      </w:r>
      <w:r>
        <w:rPr>
          <w:noProof/>
        </w:rPr>
        <w:tab/>
      </w:r>
      <w:r>
        <w:rPr>
          <w:noProof/>
        </w:rPr>
        <w:fldChar w:fldCharType="begin"/>
      </w:r>
      <w:r>
        <w:rPr>
          <w:noProof/>
        </w:rPr>
        <w:instrText xml:space="preserve"> PAGEREF _Toc133020831 \h </w:instrText>
      </w:r>
      <w:r>
        <w:rPr>
          <w:noProof/>
        </w:rPr>
      </w:r>
      <w:r>
        <w:rPr>
          <w:noProof/>
        </w:rPr>
        <w:fldChar w:fldCharType="separate"/>
      </w:r>
      <w:r>
        <w:rPr>
          <w:noProof/>
        </w:rPr>
        <w:t>19</w:t>
      </w:r>
      <w:r>
        <w:rPr>
          <w:noProof/>
        </w:rPr>
        <w:fldChar w:fldCharType="end"/>
      </w:r>
    </w:p>
    <w:p w14:paraId="715802D7" w14:textId="40D327D8"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2.3.1</w:t>
      </w:r>
      <w:r>
        <w:rPr>
          <w:rFonts w:asciiTheme="minorHAnsi" w:eastAsiaTheme="minorEastAsia" w:hAnsiTheme="minorHAnsi" w:cstheme="minorBidi"/>
          <w:noProof/>
          <w:kern w:val="2"/>
          <w:sz w:val="24"/>
          <w:szCs w:val="24"/>
          <w:lang w:val="en-CA"/>
          <w14:ligatures w14:val="standardContextual"/>
        </w:rPr>
        <w:tab/>
      </w:r>
      <w:r>
        <w:rPr>
          <w:noProof/>
        </w:rPr>
        <w:t>Federal Level</w:t>
      </w:r>
      <w:r>
        <w:rPr>
          <w:noProof/>
        </w:rPr>
        <w:tab/>
      </w:r>
      <w:r>
        <w:rPr>
          <w:noProof/>
        </w:rPr>
        <w:fldChar w:fldCharType="begin"/>
      </w:r>
      <w:r>
        <w:rPr>
          <w:noProof/>
        </w:rPr>
        <w:instrText xml:space="preserve"> PAGEREF _Toc133020832 \h </w:instrText>
      </w:r>
      <w:r>
        <w:rPr>
          <w:noProof/>
        </w:rPr>
      </w:r>
      <w:r>
        <w:rPr>
          <w:noProof/>
        </w:rPr>
        <w:fldChar w:fldCharType="separate"/>
      </w:r>
      <w:r>
        <w:rPr>
          <w:noProof/>
        </w:rPr>
        <w:t>20</w:t>
      </w:r>
      <w:r>
        <w:rPr>
          <w:noProof/>
        </w:rPr>
        <w:fldChar w:fldCharType="end"/>
      </w:r>
    </w:p>
    <w:p w14:paraId="5871D875" w14:textId="4EDFA6E7"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2.3.2</w:t>
      </w:r>
      <w:r>
        <w:rPr>
          <w:rFonts w:asciiTheme="minorHAnsi" w:eastAsiaTheme="minorEastAsia" w:hAnsiTheme="minorHAnsi" w:cstheme="minorBidi"/>
          <w:noProof/>
          <w:kern w:val="2"/>
          <w:sz w:val="24"/>
          <w:szCs w:val="24"/>
          <w:lang w:val="en-CA"/>
          <w14:ligatures w14:val="standardContextual"/>
        </w:rPr>
        <w:tab/>
      </w:r>
      <w:r>
        <w:rPr>
          <w:noProof/>
        </w:rPr>
        <w:t>Provincial and Regional Level</w:t>
      </w:r>
      <w:r>
        <w:rPr>
          <w:noProof/>
        </w:rPr>
        <w:tab/>
      </w:r>
      <w:r>
        <w:rPr>
          <w:noProof/>
        </w:rPr>
        <w:fldChar w:fldCharType="begin"/>
      </w:r>
      <w:r>
        <w:rPr>
          <w:noProof/>
        </w:rPr>
        <w:instrText xml:space="preserve"> PAGEREF _Toc133020833 \h </w:instrText>
      </w:r>
      <w:r>
        <w:rPr>
          <w:noProof/>
        </w:rPr>
      </w:r>
      <w:r>
        <w:rPr>
          <w:noProof/>
        </w:rPr>
        <w:fldChar w:fldCharType="separate"/>
      </w:r>
      <w:r>
        <w:rPr>
          <w:noProof/>
        </w:rPr>
        <w:t>20</w:t>
      </w:r>
      <w:r>
        <w:rPr>
          <w:noProof/>
        </w:rPr>
        <w:fldChar w:fldCharType="end"/>
      </w:r>
    </w:p>
    <w:p w14:paraId="2289DF24" w14:textId="4D98A4AA"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2.3.3</w:t>
      </w:r>
      <w:r>
        <w:rPr>
          <w:rFonts w:asciiTheme="minorHAnsi" w:eastAsiaTheme="minorEastAsia" w:hAnsiTheme="minorHAnsi" w:cstheme="minorBidi"/>
          <w:noProof/>
          <w:kern w:val="2"/>
          <w:sz w:val="24"/>
          <w:szCs w:val="24"/>
          <w:lang w:val="en-CA"/>
          <w14:ligatures w14:val="standardContextual"/>
        </w:rPr>
        <w:tab/>
      </w:r>
      <w:r>
        <w:rPr>
          <w:noProof/>
        </w:rPr>
        <w:t>Local Municipalities</w:t>
      </w:r>
      <w:r>
        <w:rPr>
          <w:noProof/>
        </w:rPr>
        <w:tab/>
      </w:r>
      <w:r>
        <w:rPr>
          <w:noProof/>
        </w:rPr>
        <w:fldChar w:fldCharType="begin"/>
      </w:r>
      <w:r>
        <w:rPr>
          <w:noProof/>
        </w:rPr>
        <w:instrText xml:space="preserve"> PAGEREF _Toc133020834 \h </w:instrText>
      </w:r>
      <w:r>
        <w:rPr>
          <w:noProof/>
        </w:rPr>
      </w:r>
      <w:r>
        <w:rPr>
          <w:noProof/>
        </w:rPr>
        <w:fldChar w:fldCharType="separate"/>
      </w:r>
      <w:r>
        <w:rPr>
          <w:noProof/>
        </w:rPr>
        <w:t>22</w:t>
      </w:r>
      <w:r>
        <w:rPr>
          <w:noProof/>
        </w:rPr>
        <w:fldChar w:fldCharType="end"/>
      </w:r>
    </w:p>
    <w:p w14:paraId="1E422B5E" w14:textId="2EB64FCA"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2.3.4</w:t>
      </w:r>
      <w:r>
        <w:rPr>
          <w:rFonts w:asciiTheme="minorHAnsi" w:eastAsiaTheme="minorEastAsia" w:hAnsiTheme="minorHAnsi" w:cstheme="minorBidi"/>
          <w:noProof/>
          <w:kern w:val="2"/>
          <w:sz w:val="24"/>
          <w:szCs w:val="24"/>
          <w:lang w:val="en-CA"/>
          <w14:ligatures w14:val="standardContextual"/>
        </w:rPr>
        <w:tab/>
      </w:r>
      <w:r>
        <w:rPr>
          <w:noProof/>
        </w:rPr>
        <w:t>First Nation Communities</w:t>
      </w:r>
      <w:r>
        <w:rPr>
          <w:noProof/>
        </w:rPr>
        <w:tab/>
      </w:r>
      <w:r>
        <w:rPr>
          <w:noProof/>
        </w:rPr>
        <w:fldChar w:fldCharType="begin"/>
      </w:r>
      <w:r>
        <w:rPr>
          <w:noProof/>
        </w:rPr>
        <w:instrText xml:space="preserve"> PAGEREF _Toc133020835 \h </w:instrText>
      </w:r>
      <w:r>
        <w:rPr>
          <w:noProof/>
        </w:rPr>
      </w:r>
      <w:r>
        <w:rPr>
          <w:noProof/>
        </w:rPr>
        <w:fldChar w:fldCharType="separate"/>
      </w:r>
      <w:r>
        <w:rPr>
          <w:noProof/>
        </w:rPr>
        <w:t>22</w:t>
      </w:r>
      <w:r>
        <w:rPr>
          <w:noProof/>
        </w:rPr>
        <w:fldChar w:fldCharType="end"/>
      </w:r>
    </w:p>
    <w:p w14:paraId="6B866CF8" w14:textId="40A6FC59"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2.4</w:t>
      </w:r>
      <w:r>
        <w:rPr>
          <w:rFonts w:asciiTheme="minorHAnsi" w:eastAsiaTheme="minorEastAsia" w:hAnsiTheme="minorHAnsi" w:cstheme="minorBidi"/>
          <w:noProof/>
          <w:kern w:val="2"/>
          <w:sz w:val="24"/>
          <w:szCs w:val="24"/>
          <w:lang w:val="en-CA"/>
          <w14:ligatures w14:val="standardContextual"/>
        </w:rPr>
        <w:tab/>
      </w:r>
      <w:r>
        <w:rPr>
          <w:noProof/>
        </w:rPr>
        <w:t>Existing Critical Frameworks</w:t>
      </w:r>
      <w:r>
        <w:rPr>
          <w:noProof/>
        </w:rPr>
        <w:tab/>
      </w:r>
      <w:r>
        <w:rPr>
          <w:noProof/>
        </w:rPr>
        <w:fldChar w:fldCharType="begin"/>
      </w:r>
      <w:r>
        <w:rPr>
          <w:noProof/>
        </w:rPr>
        <w:instrText xml:space="preserve"> PAGEREF _Toc133020836 \h </w:instrText>
      </w:r>
      <w:r>
        <w:rPr>
          <w:noProof/>
        </w:rPr>
      </w:r>
      <w:r>
        <w:rPr>
          <w:noProof/>
        </w:rPr>
        <w:fldChar w:fldCharType="separate"/>
      </w:r>
      <w:r>
        <w:rPr>
          <w:noProof/>
        </w:rPr>
        <w:t>24</w:t>
      </w:r>
      <w:r>
        <w:rPr>
          <w:noProof/>
        </w:rPr>
        <w:fldChar w:fldCharType="end"/>
      </w:r>
    </w:p>
    <w:p w14:paraId="1F0F4C4C" w14:textId="0A21450E"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2.4.1</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Existing Critical Frameworks to Evaluate Coastal Governance Systems</w:t>
      </w:r>
      <w:r>
        <w:rPr>
          <w:noProof/>
        </w:rPr>
        <w:tab/>
      </w:r>
      <w:r>
        <w:rPr>
          <w:noProof/>
        </w:rPr>
        <w:fldChar w:fldCharType="begin"/>
      </w:r>
      <w:r>
        <w:rPr>
          <w:noProof/>
        </w:rPr>
        <w:instrText xml:space="preserve"> PAGEREF _Toc133020837 \h </w:instrText>
      </w:r>
      <w:r>
        <w:rPr>
          <w:noProof/>
        </w:rPr>
      </w:r>
      <w:r>
        <w:rPr>
          <w:noProof/>
        </w:rPr>
        <w:fldChar w:fldCharType="separate"/>
      </w:r>
      <w:r>
        <w:rPr>
          <w:noProof/>
        </w:rPr>
        <w:t>24</w:t>
      </w:r>
      <w:r>
        <w:rPr>
          <w:noProof/>
        </w:rPr>
        <w:fldChar w:fldCharType="end"/>
      </w:r>
    </w:p>
    <w:p w14:paraId="28EED029" w14:textId="060D6206"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2.4.2</w:t>
      </w:r>
      <w:r>
        <w:rPr>
          <w:rFonts w:asciiTheme="minorHAnsi" w:eastAsiaTheme="minorEastAsia" w:hAnsiTheme="minorHAnsi" w:cstheme="minorBidi"/>
          <w:noProof/>
          <w:kern w:val="2"/>
          <w:sz w:val="24"/>
          <w:szCs w:val="24"/>
          <w:lang w:val="en-CA"/>
          <w14:ligatures w14:val="standardContextual"/>
        </w:rPr>
        <w:tab/>
      </w:r>
      <w:r>
        <w:rPr>
          <w:noProof/>
        </w:rPr>
        <w:t>Evaluating Coastal Resilience Planning from Co-benefits Perspective</w:t>
      </w:r>
      <w:r>
        <w:rPr>
          <w:noProof/>
        </w:rPr>
        <w:tab/>
      </w:r>
      <w:r>
        <w:rPr>
          <w:noProof/>
        </w:rPr>
        <w:fldChar w:fldCharType="begin"/>
      </w:r>
      <w:r>
        <w:rPr>
          <w:noProof/>
        </w:rPr>
        <w:instrText xml:space="preserve"> PAGEREF _Toc133020838 \h </w:instrText>
      </w:r>
      <w:r>
        <w:rPr>
          <w:noProof/>
        </w:rPr>
      </w:r>
      <w:r>
        <w:rPr>
          <w:noProof/>
        </w:rPr>
        <w:fldChar w:fldCharType="separate"/>
      </w:r>
      <w:r>
        <w:rPr>
          <w:noProof/>
        </w:rPr>
        <w:t>25</w:t>
      </w:r>
      <w:r>
        <w:rPr>
          <w:noProof/>
        </w:rPr>
        <w:fldChar w:fldCharType="end"/>
      </w:r>
    </w:p>
    <w:p w14:paraId="6CB4727C" w14:textId="2D940A22"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3</w:t>
      </w:r>
      <w:r>
        <w:rPr>
          <w:rFonts w:asciiTheme="minorHAnsi" w:eastAsiaTheme="minorEastAsia" w:hAnsiTheme="minorHAnsi" w:cstheme="minorBidi"/>
          <w:noProof/>
          <w:kern w:val="2"/>
          <w:sz w:val="24"/>
          <w:szCs w:val="24"/>
          <w:lang w:val="en-CA"/>
          <w14:ligatures w14:val="standardContextual"/>
        </w:rPr>
        <w:tab/>
      </w:r>
      <w:r>
        <w:rPr>
          <w:noProof/>
        </w:rPr>
        <w:t>Chapter 3  Methods</w:t>
      </w:r>
      <w:r>
        <w:rPr>
          <w:noProof/>
        </w:rPr>
        <w:tab/>
      </w:r>
      <w:r>
        <w:rPr>
          <w:noProof/>
        </w:rPr>
        <w:fldChar w:fldCharType="begin"/>
      </w:r>
      <w:r>
        <w:rPr>
          <w:noProof/>
        </w:rPr>
        <w:instrText xml:space="preserve"> PAGEREF _Toc133020839 \h </w:instrText>
      </w:r>
      <w:r>
        <w:rPr>
          <w:noProof/>
        </w:rPr>
      </w:r>
      <w:r>
        <w:rPr>
          <w:noProof/>
        </w:rPr>
        <w:fldChar w:fldCharType="separate"/>
      </w:r>
      <w:r>
        <w:rPr>
          <w:noProof/>
        </w:rPr>
        <w:t>29</w:t>
      </w:r>
      <w:r>
        <w:rPr>
          <w:noProof/>
        </w:rPr>
        <w:fldChar w:fldCharType="end"/>
      </w:r>
    </w:p>
    <w:p w14:paraId="6198E4B9" w14:textId="5E00E702"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3.1</w:t>
      </w:r>
      <w:r>
        <w:rPr>
          <w:rFonts w:asciiTheme="minorHAnsi" w:eastAsiaTheme="minorEastAsia" w:hAnsiTheme="minorHAnsi" w:cstheme="minorBidi"/>
          <w:noProof/>
          <w:kern w:val="2"/>
          <w:sz w:val="24"/>
          <w:szCs w:val="24"/>
          <w:lang w:val="en-CA"/>
          <w14:ligatures w14:val="standardContextual"/>
        </w:rPr>
        <w:tab/>
      </w:r>
      <w:r>
        <w:rPr>
          <w:noProof/>
        </w:rPr>
        <w:t>Introduction</w:t>
      </w:r>
      <w:r>
        <w:rPr>
          <w:noProof/>
        </w:rPr>
        <w:tab/>
      </w:r>
      <w:r>
        <w:rPr>
          <w:noProof/>
        </w:rPr>
        <w:fldChar w:fldCharType="begin"/>
      </w:r>
      <w:r>
        <w:rPr>
          <w:noProof/>
        </w:rPr>
        <w:instrText xml:space="preserve"> PAGEREF _Toc133020840 \h </w:instrText>
      </w:r>
      <w:r>
        <w:rPr>
          <w:noProof/>
        </w:rPr>
      </w:r>
      <w:r>
        <w:rPr>
          <w:noProof/>
        </w:rPr>
        <w:fldChar w:fldCharType="separate"/>
      </w:r>
      <w:r>
        <w:rPr>
          <w:noProof/>
        </w:rPr>
        <w:t>29</w:t>
      </w:r>
      <w:r>
        <w:rPr>
          <w:noProof/>
        </w:rPr>
        <w:fldChar w:fldCharType="end"/>
      </w:r>
    </w:p>
    <w:p w14:paraId="418B79C7" w14:textId="2338BD0D"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w:t>
      </w:r>
      <w:r>
        <w:rPr>
          <w:rFonts w:asciiTheme="minorHAnsi" w:eastAsiaTheme="minorEastAsia" w:hAnsiTheme="minorHAnsi" w:cstheme="minorBidi"/>
          <w:noProof/>
          <w:kern w:val="2"/>
          <w:sz w:val="24"/>
          <w:szCs w:val="24"/>
          <w:lang w:val="en-CA"/>
          <w14:ligatures w14:val="standardContextual"/>
        </w:rPr>
        <w:tab/>
      </w:r>
      <w:r>
        <w:rPr>
          <w:noProof/>
        </w:rPr>
        <w:t>Methods</w:t>
      </w:r>
      <w:r>
        <w:rPr>
          <w:noProof/>
        </w:rPr>
        <w:tab/>
      </w:r>
      <w:r>
        <w:rPr>
          <w:noProof/>
        </w:rPr>
        <w:fldChar w:fldCharType="begin"/>
      </w:r>
      <w:r>
        <w:rPr>
          <w:noProof/>
        </w:rPr>
        <w:instrText xml:space="preserve"> PAGEREF _Toc133020841 \h </w:instrText>
      </w:r>
      <w:r>
        <w:rPr>
          <w:noProof/>
        </w:rPr>
      </w:r>
      <w:r>
        <w:rPr>
          <w:noProof/>
        </w:rPr>
        <w:fldChar w:fldCharType="separate"/>
      </w:r>
      <w:r>
        <w:rPr>
          <w:noProof/>
        </w:rPr>
        <w:t>29</w:t>
      </w:r>
      <w:r>
        <w:rPr>
          <w:noProof/>
        </w:rPr>
        <w:fldChar w:fldCharType="end"/>
      </w:r>
    </w:p>
    <w:p w14:paraId="1ECBA8B4" w14:textId="5359A773"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3.2.1</w:t>
      </w:r>
      <w:r>
        <w:rPr>
          <w:rFonts w:asciiTheme="minorHAnsi" w:eastAsiaTheme="minorEastAsia" w:hAnsiTheme="minorHAnsi" w:cstheme="minorBidi"/>
          <w:noProof/>
          <w:kern w:val="2"/>
          <w:sz w:val="24"/>
          <w:szCs w:val="24"/>
          <w:lang w:val="en-CA"/>
          <w14:ligatures w14:val="standardContextual"/>
        </w:rPr>
        <w:tab/>
      </w:r>
      <w:r>
        <w:rPr>
          <w:noProof/>
        </w:rPr>
        <w:t>Study Area</w:t>
      </w:r>
      <w:r>
        <w:rPr>
          <w:noProof/>
        </w:rPr>
        <w:tab/>
      </w:r>
      <w:r>
        <w:rPr>
          <w:noProof/>
        </w:rPr>
        <w:fldChar w:fldCharType="begin"/>
      </w:r>
      <w:r>
        <w:rPr>
          <w:noProof/>
        </w:rPr>
        <w:instrText xml:space="preserve"> PAGEREF _Toc133020842 \h </w:instrText>
      </w:r>
      <w:r>
        <w:rPr>
          <w:noProof/>
        </w:rPr>
      </w:r>
      <w:r>
        <w:rPr>
          <w:noProof/>
        </w:rPr>
        <w:fldChar w:fldCharType="separate"/>
      </w:r>
      <w:r>
        <w:rPr>
          <w:noProof/>
        </w:rPr>
        <w:t>29</w:t>
      </w:r>
      <w:r>
        <w:rPr>
          <w:noProof/>
        </w:rPr>
        <w:fldChar w:fldCharType="end"/>
      </w:r>
    </w:p>
    <w:p w14:paraId="0613B9F7" w14:textId="1C138879"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3.2.2</w:t>
      </w:r>
      <w:r>
        <w:rPr>
          <w:rFonts w:asciiTheme="minorHAnsi" w:eastAsiaTheme="minorEastAsia" w:hAnsiTheme="minorHAnsi" w:cstheme="minorBidi"/>
          <w:noProof/>
          <w:kern w:val="2"/>
          <w:sz w:val="24"/>
          <w:szCs w:val="24"/>
          <w:lang w:val="en-CA"/>
          <w14:ligatures w14:val="standardContextual"/>
        </w:rPr>
        <w:tab/>
      </w:r>
      <w:r>
        <w:rPr>
          <w:noProof/>
        </w:rPr>
        <w:t>Case Study Approach</w:t>
      </w:r>
      <w:r>
        <w:rPr>
          <w:noProof/>
        </w:rPr>
        <w:tab/>
      </w:r>
      <w:r>
        <w:rPr>
          <w:noProof/>
        </w:rPr>
        <w:fldChar w:fldCharType="begin"/>
      </w:r>
      <w:r>
        <w:rPr>
          <w:noProof/>
        </w:rPr>
        <w:instrText xml:space="preserve"> PAGEREF _Toc133020843 \h </w:instrText>
      </w:r>
      <w:r>
        <w:rPr>
          <w:noProof/>
        </w:rPr>
      </w:r>
      <w:r>
        <w:rPr>
          <w:noProof/>
        </w:rPr>
        <w:fldChar w:fldCharType="separate"/>
      </w:r>
      <w:r>
        <w:rPr>
          <w:noProof/>
        </w:rPr>
        <w:t>30</w:t>
      </w:r>
      <w:r>
        <w:rPr>
          <w:noProof/>
        </w:rPr>
        <w:fldChar w:fldCharType="end"/>
      </w:r>
    </w:p>
    <w:p w14:paraId="3DD1F187" w14:textId="0E968EA4"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3.2.3</w:t>
      </w:r>
      <w:r>
        <w:rPr>
          <w:rFonts w:asciiTheme="minorHAnsi" w:eastAsiaTheme="minorEastAsia" w:hAnsiTheme="minorHAnsi" w:cstheme="minorBidi"/>
          <w:noProof/>
          <w:kern w:val="2"/>
          <w:sz w:val="24"/>
          <w:szCs w:val="24"/>
          <w:lang w:val="en-CA"/>
          <w14:ligatures w14:val="standardContextual"/>
        </w:rPr>
        <w:tab/>
      </w:r>
      <w:r>
        <w:rPr>
          <w:noProof/>
        </w:rPr>
        <w:t>Adaptive Governance Theory</w:t>
      </w:r>
      <w:r>
        <w:rPr>
          <w:noProof/>
        </w:rPr>
        <w:tab/>
      </w:r>
      <w:r>
        <w:rPr>
          <w:noProof/>
        </w:rPr>
        <w:fldChar w:fldCharType="begin"/>
      </w:r>
      <w:r>
        <w:rPr>
          <w:noProof/>
        </w:rPr>
        <w:instrText xml:space="preserve"> PAGEREF _Toc133020844 \h </w:instrText>
      </w:r>
      <w:r>
        <w:rPr>
          <w:noProof/>
        </w:rPr>
      </w:r>
      <w:r>
        <w:rPr>
          <w:noProof/>
        </w:rPr>
        <w:fldChar w:fldCharType="separate"/>
      </w:r>
      <w:r>
        <w:rPr>
          <w:noProof/>
        </w:rPr>
        <w:t>30</w:t>
      </w:r>
      <w:r>
        <w:rPr>
          <w:noProof/>
        </w:rPr>
        <w:fldChar w:fldCharType="end"/>
      </w:r>
    </w:p>
    <w:p w14:paraId="3A2B95BF" w14:textId="66E172DD"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3.2.4</w:t>
      </w:r>
      <w:r>
        <w:rPr>
          <w:rFonts w:asciiTheme="minorHAnsi" w:eastAsiaTheme="minorEastAsia" w:hAnsiTheme="minorHAnsi" w:cstheme="minorBidi"/>
          <w:noProof/>
          <w:kern w:val="2"/>
          <w:sz w:val="24"/>
          <w:szCs w:val="24"/>
          <w:lang w:val="en-CA"/>
          <w14:ligatures w14:val="standardContextual"/>
        </w:rPr>
        <w:tab/>
      </w:r>
      <w:r>
        <w:rPr>
          <w:noProof/>
        </w:rPr>
        <w:t>Sampling Method</w:t>
      </w:r>
      <w:r>
        <w:rPr>
          <w:noProof/>
        </w:rPr>
        <w:tab/>
      </w:r>
      <w:r>
        <w:rPr>
          <w:noProof/>
        </w:rPr>
        <w:fldChar w:fldCharType="begin"/>
      </w:r>
      <w:r>
        <w:rPr>
          <w:noProof/>
        </w:rPr>
        <w:instrText xml:space="preserve"> PAGEREF _Toc133020845 \h </w:instrText>
      </w:r>
      <w:r>
        <w:rPr>
          <w:noProof/>
        </w:rPr>
      </w:r>
      <w:r>
        <w:rPr>
          <w:noProof/>
        </w:rPr>
        <w:fldChar w:fldCharType="separate"/>
      </w:r>
      <w:r>
        <w:rPr>
          <w:noProof/>
        </w:rPr>
        <w:t>32</w:t>
      </w:r>
      <w:r>
        <w:rPr>
          <w:noProof/>
        </w:rPr>
        <w:fldChar w:fldCharType="end"/>
      </w:r>
    </w:p>
    <w:p w14:paraId="351C81BA" w14:textId="3EA4E30A"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3.2.5</w:t>
      </w:r>
      <w:r>
        <w:rPr>
          <w:rFonts w:asciiTheme="minorHAnsi" w:eastAsiaTheme="minorEastAsia" w:hAnsiTheme="minorHAnsi" w:cstheme="minorBidi"/>
          <w:noProof/>
          <w:kern w:val="2"/>
          <w:sz w:val="24"/>
          <w:szCs w:val="24"/>
          <w:lang w:val="en-CA"/>
          <w14:ligatures w14:val="standardContextual"/>
        </w:rPr>
        <w:tab/>
      </w:r>
      <w:r>
        <w:rPr>
          <w:noProof/>
        </w:rPr>
        <w:t>Interview Process</w:t>
      </w:r>
      <w:r>
        <w:rPr>
          <w:noProof/>
        </w:rPr>
        <w:tab/>
      </w:r>
      <w:r>
        <w:rPr>
          <w:noProof/>
        </w:rPr>
        <w:fldChar w:fldCharType="begin"/>
      </w:r>
      <w:r>
        <w:rPr>
          <w:noProof/>
        </w:rPr>
        <w:instrText xml:space="preserve"> PAGEREF _Toc133020846 \h </w:instrText>
      </w:r>
      <w:r>
        <w:rPr>
          <w:noProof/>
        </w:rPr>
      </w:r>
      <w:r>
        <w:rPr>
          <w:noProof/>
        </w:rPr>
        <w:fldChar w:fldCharType="separate"/>
      </w:r>
      <w:r>
        <w:rPr>
          <w:noProof/>
        </w:rPr>
        <w:t>32</w:t>
      </w:r>
      <w:r>
        <w:rPr>
          <w:noProof/>
        </w:rPr>
        <w:fldChar w:fldCharType="end"/>
      </w:r>
    </w:p>
    <w:p w14:paraId="21A97F09" w14:textId="7B6DEA6E"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lastRenderedPageBreak/>
        <w:t>3.2.6</w:t>
      </w:r>
      <w:r>
        <w:rPr>
          <w:rFonts w:asciiTheme="minorHAnsi" w:eastAsiaTheme="minorEastAsia" w:hAnsiTheme="minorHAnsi" w:cstheme="minorBidi"/>
          <w:noProof/>
          <w:kern w:val="2"/>
          <w:sz w:val="24"/>
          <w:szCs w:val="24"/>
          <w:lang w:val="en-CA"/>
          <w14:ligatures w14:val="standardContextual"/>
        </w:rPr>
        <w:tab/>
      </w:r>
      <w:r>
        <w:rPr>
          <w:noProof/>
        </w:rPr>
        <w:t>Participatory Research at IMPAC5</w:t>
      </w:r>
      <w:r>
        <w:rPr>
          <w:noProof/>
        </w:rPr>
        <w:tab/>
      </w:r>
      <w:r>
        <w:rPr>
          <w:noProof/>
        </w:rPr>
        <w:fldChar w:fldCharType="begin"/>
      </w:r>
      <w:r>
        <w:rPr>
          <w:noProof/>
        </w:rPr>
        <w:instrText xml:space="preserve"> PAGEREF _Toc133020847 \h </w:instrText>
      </w:r>
      <w:r>
        <w:rPr>
          <w:noProof/>
        </w:rPr>
      </w:r>
      <w:r>
        <w:rPr>
          <w:noProof/>
        </w:rPr>
        <w:fldChar w:fldCharType="separate"/>
      </w:r>
      <w:r>
        <w:rPr>
          <w:noProof/>
        </w:rPr>
        <w:t>33</w:t>
      </w:r>
      <w:r>
        <w:rPr>
          <w:noProof/>
        </w:rPr>
        <w:fldChar w:fldCharType="end"/>
      </w:r>
    </w:p>
    <w:p w14:paraId="7E7B342A" w14:textId="64D79066"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3.2.7</w:t>
      </w:r>
      <w:r>
        <w:rPr>
          <w:rFonts w:asciiTheme="minorHAnsi" w:eastAsiaTheme="minorEastAsia" w:hAnsiTheme="minorHAnsi" w:cstheme="minorBidi"/>
          <w:noProof/>
          <w:kern w:val="2"/>
          <w:sz w:val="24"/>
          <w:szCs w:val="24"/>
          <w:lang w:val="en-CA"/>
          <w14:ligatures w14:val="standardContextual"/>
        </w:rPr>
        <w:tab/>
      </w:r>
      <w:r>
        <w:rPr>
          <w:noProof/>
        </w:rPr>
        <w:t>Validation</w:t>
      </w:r>
      <w:r>
        <w:rPr>
          <w:noProof/>
        </w:rPr>
        <w:tab/>
      </w:r>
      <w:r>
        <w:rPr>
          <w:noProof/>
        </w:rPr>
        <w:fldChar w:fldCharType="begin"/>
      </w:r>
      <w:r>
        <w:rPr>
          <w:noProof/>
        </w:rPr>
        <w:instrText xml:space="preserve"> PAGEREF _Toc133020848 \h </w:instrText>
      </w:r>
      <w:r>
        <w:rPr>
          <w:noProof/>
        </w:rPr>
      </w:r>
      <w:r>
        <w:rPr>
          <w:noProof/>
        </w:rPr>
        <w:fldChar w:fldCharType="separate"/>
      </w:r>
      <w:r>
        <w:rPr>
          <w:noProof/>
        </w:rPr>
        <w:t>34</w:t>
      </w:r>
      <w:r>
        <w:rPr>
          <w:noProof/>
        </w:rPr>
        <w:fldChar w:fldCharType="end"/>
      </w:r>
    </w:p>
    <w:p w14:paraId="578D1C6D" w14:textId="7CF47FDD"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3.3</w:t>
      </w:r>
      <w:r>
        <w:rPr>
          <w:rFonts w:asciiTheme="minorHAnsi" w:eastAsiaTheme="minorEastAsia" w:hAnsiTheme="minorHAnsi" w:cstheme="minorBidi"/>
          <w:noProof/>
          <w:kern w:val="2"/>
          <w:sz w:val="24"/>
          <w:szCs w:val="24"/>
          <w:lang w:val="en-CA"/>
          <w14:ligatures w14:val="standardContextual"/>
        </w:rPr>
        <w:tab/>
      </w:r>
      <w:r>
        <w:rPr>
          <w:noProof/>
        </w:rPr>
        <w:t>Data Analysis</w:t>
      </w:r>
      <w:r>
        <w:rPr>
          <w:noProof/>
        </w:rPr>
        <w:tab/>
      </w:r>
      <w:r>
        <w:rPr>
          <w:noProof/>
        </w:rPr>
        <w:fldChar w:fldCharType="begin"/>
      </w:r>
      <w:r>
        <w:rPr>
          <w:noProof/>
        </w:rPr>
        <w:instrText xml:space="preserve"> PAGEREF _Toc133020849 \h </w:instrText>
      </w:r>
      <w:r>
        <w:rPr>
          <w:noProof/>
        </w:rPr>
      </w:r>
      <w:r>
        <w:rPr>
          <w:noProof/>
        </w:rPr>
        <w:fldChar w:fldCharType="separate"/>
      </w:r>
      <w:r>
        <w:rPr>
          <w:noProof/>
        </w:rPr>
        <w:t>35</w:t>
      </w:r>
      <w:r>
        <w:rPr>
          <w:noProof/>
        </w:rPr>
        <w:fldChar w:fldCharType="end"/>
      </w:r>
    </w:p>
    <w:p w14:paraId="5B887476" w14:textId="55DFB8E7"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4</w:t>
      </w:r>
      <w:r>
        <w:rPr>
          <w:rFonts w:asciiTheme="minorHAnsi" w:eastAsiaTheme="minorEastAsia" w:hAnsiTheme="minorHAnsi" w:cstheme="minorBidi"/>
          <w:noProof/>
          <w:kern w:val="2"/>
          <w:sz w:val="24"/>
          <w:szCs w:val="24"/>
          <w:lang w:val="en-CA"/>
          <w14:ligatures w14:val="standardContextual"/>
        </w:rPr>
        <w:tab/>
      </w:r>
      <w:r>
        <w:rPr>
          <w:noProof/>
        </w:rPr>
        <w:t>Chapter 4  Results</w:t>
      </w:r>
      <w:r>
        <w:rPr>
          <w:noProof/>
        </w:rPr>
        <w:tab/>
      </w:r>
      <w:r>
        <w:rPr>
          <w:noProof/>
        </w:rPr>
        <w:fldChar w:fldCharType="begin"/>
      </w:r>
      <w:r>
        <w:rPr>
          <w:noProof/>
        </w:rPr>
        <w:instrText xml:space="preserve"> PAGEREF _Toc133020850 \h </w:instrText>
      </w:r>
      <w:r>
        <w:rPr>
          <w:noProof/>
        </w:rPr>
      </w:r>
      <w:r>
        <w:rPr>
          <w:noProof/>
        </w:rPr>
        <w:fldChar w:fldCharType="separate"/>
      </w:r>
      <w:r>
        <w:rPr>
          <w:noProof/>
        </w:rPr>
        <w:t>36</w:t>
      </w:r>
      <w:r>
        <w:rPr>
          <w:noProof/>
        </w:rPr>
        <w:fldChar w:fldCharType="end"/>
      </w:r>
    </w:p>
    <w:p w14:paraId="1CE8BE2B" w14:textId="46BD309D"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4.1</w:t>
      </w:r>
      <w:r>
        <w:rPr>
          <w:rFonts w:asciiTheme="minorHAnsi" w:eastAsiaTheme="minorEastAsia" w:hAnsiTheme="minorHAnsi" w:cstheme="minorBidi"/>
          <w:noProof/>
          <w:kern w:val="2"/>
          <w:sz w:val="24"/>
          <w:szCs w:val="24"/>
          <w:lang w:val="en-CA"/>
          <w14:ligatures w14:val="standardContextual"/>
        </w:rPr>
        <w:tab/>
      </w:r>
      <w:r>
        <w:rPr>
          <w:noProof/>
        </w:rPr>
        <w:t>Introduction</w:t>
      </w:r>
      <w:r>
        <w:rPr>
          <w:noProof/>
        </w:rPr>
        <w:tab/>
      </w:r>
      <w:r>
        <w:rPr>
          <w:noProof/>
        </w:rPr>
        <w:fldChar w:fldCharType="begin"/>
      </w:r>
      <w:r>
        <w:rPr>
          <w:noProof/>
        </w:rPr>
        <w:instrText xml:space="preserve"> PAGEREF _Toc133020851 \h </w:instrText>
      </w:r>
      <w:r>
        <w:rPr>
          <w:noProof/>
        </w:rPr>
      </w:r>
      <w:r>
        <w:rPr>
          <w:noProof/>
        </w:rPr>
        <w:fldChar w:fldCharType="separate"/>
      </w:r>
      <w:r>
        <w:rPr>
          <w:noProof/>
        </w:rPr>
        <w:t>36</w:t>
      </w:r>
      <w:r>
        <w:rPr>
          <w:noProof/>
        </w:rPr>
        <w:fldChar w:fldCharType="end"/>
      </w:r>
    </w:p>
    <w:p w14:paraId="27D42F4B" w14:textId="385F6826"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w:t>
      </w:r>
      <w:r>
        <w:rPr>
          <w:rFonts w:asciiTheme="minorHAnsi" w:eastAsiaTheme="minorEastAsia" w:hAnsiTheme="minorHAnsi" w:cstheme="minorBidi"/>
          <w:noProof/>
          <w:kern w:val="2"/>
          <w:sz w:val="24"/>
          <w:szCs w:val="24"/>
          <w:lang w:val="en-CA"/>
          <w14:ligatures w14:val="standardContextual"/>
        </w:rPr>
        <w:tab/>
      </w:r>
      <w:r>
        <w:rPr>
          <w:noProof/>
        </w:rPr>
        <w:t>Adaptive governance analysis</w:t>
      </w:r>
      <w:r>
        <w:rPr>
          <w:noProof/>
        </w:rPr>
        <w:tab/>
      </w:r>
      <w:r>
        <w:rPr>
          <w:noProof/>
        </w:rPr>
        <w:fldChar w:fldCharType="begin"/>
      </w:r>
      <w:r>
        <w:rPr>
          <w:noProof/>
        </w:rPr>
        <w:instrText xml:space="preserve"> PAGEREF _Toc133020852 \h </w:instrText>
      </w:r>
      <w:r>
        <w:rPr>
          <w:noProof/>
        </w:rPr>
      </w:r>
      <w:r>
        <w:rPr>
          <w:noProof/>
        </w:rPr>
        <w:fldChar w:fldCharType="separate"/>
      </w:r>
      <w:r>
        <w:rPr>
          <w:noProof/>
        </w:rPr>
        <w:t>37</w:t>
      </w:r>
      <w:r>
        <w:rPr>
          <w:noProof/>
        </w:rPr>
        <w:fldChar w:fldCharType="end"/>
      </w:r>
    </w:p>
    <w:p w14:paraId="12272884" w14:textId="776BE666"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4.2.1</w:t>
      </w:r>
      <w:r>
        <w:rPr>
          <w:rFonts w:asciiTheme="minorHAnsi" w:eastAsiaTheme="minorEastAsia" w:hAnsiTheme="minorHAnsi" w:cstheme="minorBidi"/>
          <w:noProof/>
          <w:kern w:val="2"/>
          <w:sz w:val="24"/>
          <w:szCs w:val="24"/>
          <w:lang w:val="en-CA"/>
          <w14:ligatures w14:val="standardContextual"/>
        </w:rPr>
        <w:tab/>
      </w:r>
      <w:r>
        <w:rPr>
          <w:noProof/>
        </w:rPr>
        <w:t>Collaboration</w:t>
      </w:r>
      <w:r>
        <w:rPr>
          <w:noProof/>
        </w:rPr>
        <w:tab/>
      </w:r>
      <w:r>
        <w:rPr>
          <w:noProof/>
        </w:rPr>
        <w:fldChar w:fldCharType="begin"/>
      </w:r>
      <w:r>
        <w:rPr>
          <w:noProof/>
        </w:rPr>
        <w:instrText xml:space="preserve"> PAGEREF _Toc133020853 \h </w:instrText>
      </w:r>
      <w:r>
        <w:rPr>
          <w:noProof/>
        </w:rPr>
      </w:r>
      <w:r>
        <w:rPr>
          <w:noProof/>
        </w:rPr>
        <w:fldChar w:fldCharType="separate"/>
      </w:r>
      <w:r>
        <w:rPr>
          <w:noProof/>
        </w:rPr>
        <w:t>37</w:t>
      </w:r>
      <w:r>
        <w:rPr>
          <w:noProof/>
        </w:rPr>
        <w:fldChar w:fldCharType="end"/>
      </w:r>
    </w:p>
    <w:p w14:paraId="034A0262" w14:textId="10C3E870"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4.2.2</w:t>
      </w:r>
      <w:r>
        <w:rPr>
          <w:rFonts w:asciiTheme="minorHAnsi" w:eastAsiaTheme="minorEastAsia" w:hAnsiTheme="minorHAnsi" w:cstheme="minorBidi"/>
          <w:noProof/>
          <w:kern w:val="2"/>
          <w:sz w:val="24"/>
          <w:szCs w:val="24"/>
          <w:lang w:val="en-CA"/>
          <w14:ligatures w14:val="standardContextual"/>
        </w:rPr>
        <w:tab/>
      </w:r>
      <w:r>
        <w:rPr>
          <w:noProof/>
        </w:rPr>
        <w:t>Coordination</w:t>
      </w:r>
      <w:r>
        <w:rPr>
          <w:noProof/>
        </w:rPr>
        <w:tab/>
      </w:r>
      <w:r>
        <w:rPr>
          <w:noProof/>
        </w:rPr>
        <w:fldChar w:fldCharType="begin"/>
      </w:r>
      <w:r>
        <w:rPr>
          <w:noProof/>
        </w:rPr>
        <w:instrText xml:space="preserve"> PAGEREF _Toc133020854 \h </w:instrText>
      </w:r>
      <w:r>
        <w:rPr>
          <w:noProof/>
        </w:rPr>
      </w:r>
      <w:r>
        <w:rPr>
          <w:noProof/>
        </w:rPr>
        <w:fldChar w:fldCharType="separate"/>
      </w:r>
      <w:r>
        <w:rPr>
          <w:noProof/>
        </w:rPr>
        <w:t>38</w:t>
      </w:r>
      <w:r>
        <w:rPr>
          <w:noProof/>
        </w:rPr>
        <w:fldChar w:fldCharType="end"/>
      </w:r>
    </w:p>
    <w:p w14:paraId="494A2671" w14:textId="4B237F61"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4.2.3</w:t>
      </w:r>
      <w:r>
        <w:rPr>
          <w:rFonts w:asciiTheme="minorHAnsi" w:eastAsiaTheme="minorEastAsia" w:hAnsiTheme="minorHAnsi" w:cstheme="minorBidi"/>
          <w:noProof/>
          <w:kern w:val="2"/>
          <w:sz w:val="24"/>
          <w:szCs w:val="24"/>
          <w:lang w:val="en-CA"/>
          <w14:ligatures w14:val="standardContextual"/>
        </w:rPr>
        <w:tab/>
      </w:r>
      <w:r>
        <w:rPr>
          <w:noProof/>
        </w:rPr>
        <w:t>Social Capital</w:t>
      </w:r>
      <w:r>
        <w:rPr>
          <w:noProof/>
        </w:rPr>
        <w:tab/>
      </w:r>
      <w:r>
        <w:rPr>
          <w:noProof/>
        </w:rPr>
        <w:fldChar w:fldCharType="begin"/>
      </w:r>
      <w:r>
        <w:rPr>
          <w:noProof/>
        </w:rPr>
        <w:instrText xml:space="preserve"> PAGEREF _Toc133020855 \h </w:instrText>
      </w:r>
      <w:r>
        <w:rPr>
          <w:noProof/>
        </w:rPr>
      </w:r>
      <w:r>
        <w:rPr>
          <w:noProof/>
        </w:rPr>
        <w:fldChar w:fldCharType="separate"/>
      </w:r>
      <w:r>
        <w:rPr>
          <w:noProof/>
        </w:rPr>
        <w:t>39</w:t>
      </w:r>
      <w:r>
        <w:rPr>
          <w:noProof/>
        </w:rPr>
        <w:fldChar w:fldCharType="end"/>
      </w:r>
    </w:p>
    <w:p w14:paraId="3CB1A9C6" w14:textId="12366364"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4.2.4</w:t>
      </w:r>
      <w:r>
        <w:rPr>
          <w:rFonts w:asciiTheme="minorHAnsi" w:eastAsiaTheme="minorEastAsia" w:hAnsiTheme="minorHAnsi" w:cstheme="minorBidi"/>
          <w:noProof/>
          <w:kern w:val="2"/>
          <w:sz w:val="24"/>
          <w:szCs w:val="24"/>
          <w:lang w:val="en-CA"/>
          <w14:ligatures w14:val="standardContextual"/>
        </w:rPr>
        <w:tab/>
      </w:r>
      <w:r>
        <w:rPr>
          <w:noProof/>
        </w:rPr>
        <w:t>Community Empowerment</w:t>
      </w:r>
      <w:r>
        <w:rPr>
          <w:noProof/>
        </w:rPr>
        <w:tab/>
      </w:r>
      <w:r>
        <w:rPr>
          <w:noProof/>
        </w:rPr>
        <w:fldChar w:fldCharType="begin"/>
      </w:r>
      <w:r>
        <w:rPr>
          <w:noProof/>
        </w:rPr>
        <w:instrText xml:space="preserve"> PAGEREF _Toc133020856 \h </w:instrText>
      </w:r>
      <w:r>
        <w:rPr>
          <w:noProof/>
        </w:rPr>
      </w:r>
      <w:r>
        <w:rPr>
          <w:noProof/>
        </w:rPr>
        <w:fldChar w:fldCharType="separate"/>
      </w:r>
      <w:r>
        <w:rPr>
          <w:noProof/>
        </w:rPr>
        <w:t>40</w:t>
      </w:r>
      <w:r>
        <w:rPr>
          <w:noProof/>
        </w:rPr>
        <w:fldChar w:fldCharType="end"/>
      </w:r>
    </w:p>
    <w:p w14:paraId="06CAF0EB" w14:textId="236BAF88"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4.2.5</w:t>
      </w:r>
      <w:r>
        <w:rPr>
          <w:rFonts w:asciiTheme="minorHAnsi" w:eastAsiaTheme="minorEastAsia" w:hAnsiTheme="minorHAnsi" w:cstheme="minorBidi"/>
          <w:noProof/>
          <w:kern w:val="2"/>
          <w:sz w:val="24"/>
          <w:szCs w:val="24"/>
          <w:lang w:val="en-CA"/>
          <w14:ligatures w14:val="standardContextual"/>
        </w:rPr>
        <w:tab/>
      </w:r>
      <w:r>
        <w:rPr>
          <w:noProof/>
        </w:rPr>
        <w:t>Capacity development</w:t>
      </w:r>
      <w:r>
        <w:rPr>
          <w:noProof/>
        </w:rPr>
        <w:tab/>
      </w:r>
      <w:r>
        <w:rPr>
          <w:noProof/>
        </w:rPr>
        <w:fldChar w:fldCharType="begin"/>
      </w:r>
      <w:r>
        <w:rPr>
          <w:noProof/>
        </w:rPr>
        <w:instrText xml:space="preserve"> PAGEREF _Toc133020857 \h </w:instrText>
      </w:r>
      <w:r>
        <w:rPr>
          <w:noProof/>
        </w:rPr>
      </w:r>
      <w:r>
        <w:rPr>
          <w:noProof/>
        </w:rPr>
        <w:fldChar w:fldCharType="separate"/>
      </w:r>
      <w:r>
        <w:rPr>
          <w:noProof/>
        </w:rPr>
        <w:t>41</w:t>
      </w:r>
      <w:r>
        <w:rPr>
          <w:noProof/>
        </w:rPr>
        <w:fldChar w:fldCharType="end"/>
      </w:r>
    </w:p>
    <w:p w14:paraId="32890EA2" w14:textId="04FCBAE2"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4.2.6</w:t>
      </w:r>
      <w:r>
        <w:rPr>
          <w:rFonts w:asciiTheme="minorHAnsi" w:eastAsiaTheme="minorEastAsia" w:hAnsiTheme="minorHAnsi" w:cstheme="minorBidi"/>
          <w:noProof/>
          <w:kern w:val="2"/>
          <w:sz w:val="24"/>
          <w:szCs w:val="24"/>
          <w:lang w:val="en-CA"/>
          <w14:ligatures w14:val="standardContextual"/>
        </w:rPr>
        <w:tab/>
      </w:r>
      <w:r>
        <w:rPr>
          <w:noProof/>
        </w:rPr>
        <w:t>Link between knowledge and decision-making</w:t>
      </w:r>
      <w:r>
        <w:rPr>
          <w:noProof/>
        </w:rPr>
        <w:tab/>
      </w:r>
      <w:r>
        <w:rPr>
          <w:noProof/>
        </w:rPr>
        <w:fldChar w:fldCharType="begin"/>
      </w:r>
      <w:r>
        <w:rPr>
          <w:noProof/>
        </w:rPr>
        <w:instrText xml:space="preserve"> PAGEREF _Toc133020858 \h </w:instrText>
      </w:r>
      <w:r>
        <w:rPr>
          <w:noProof/>
        </w:rPr>
      </w:r>
      <w:r>
        <w:rPr>
          <w:noProof/>
        </w:rPr>
        <w:fldChar w:fldCharType="separate"/>
      </w:r>
      <w:r>
        <w:rPr>
          <w:noProof/>
        </w:rPr>
        <w:t>42</w:t>
      </w:r>
      <w:r>
        <w:rPr>
          <w:noProof/>
        </w:rPr>
        <w:fldChar w:fldCharType="end"/>
      </w:r>
    </w:p>
    <w:p w14:paraId="4F033D95" w14:textId="3D1EAC5C"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4.2.7</w:t>
      </w:r>
      <w:r>
        <w:rPr>
          <w:rFonts w:asciiTheme="minorHAnsi" w:eastAsiaTheme="minorEastAsia" w:hAnsiTheme="minorHAnsi" w:cstheme="minorBidi"/>
          <w:noProof/>
          <w:kern w:val="2"/>
          <w:sz w:val="24"/>
          <w:szCs w:val="24"/>
          <w:lang w:val="en-CA"/>
          <w14:ligatures w14:val="standardContextual"/>
        </w:rPr>
        <w:tab/>
      </w:r>
      <w:r>
        <w:rPr>
          <w:noProof/>
        </w:rPr>
        <w:t>Leadership</w:t>
      </w:r>
      <w:r>
        <w:rPr>
          <w:noProof/>
        </w:rPr>
        <w:tab/>
      </w:r>
      <w:r>
        <w:rPr>
          <w:noProof/>
        </w:rPr>
        <w:fldChar w:fldCharType="begin"/>
      </w:r>
      <w:r>
        <w:rPr>
          <w:noProof/>
        </w:rPr>
        <w:instrText xml:space="preserve"> PAGEREF _Toc133020859 \h </w:instrText>
      </w:r>
      <w:r>
        <w:rPr>
          <w:noProof/>
        </w:rPr>
      </w:r>
      <w:r>
        <w:rPr>
          <w:noProof/>
        </w:rPr>
        <w:fldChar w:fldCharType="separate"/>
      </w:r>
      <w:r>
        <w:rPr>
          <w:noProof/>
        </w:rPr>
        <w:t>43</w:t>
      </w:r>
      <w:r>
        <w:rPr>
          <w:noProof/>
        </w:rPr>
        <w:fldChar w:fldCharType="end"/>
      </w:r>
    </w:p>
    <w:p w14:paraId="4A5E6A13" w14:textId="373FBF44"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4.2.8</w:t>
      </w:r>
      <w:r>
        <w:rPr>
          <w:rFonts w:asciiTheme="minorHAnsi" w:eastAsiaTheme="minorEastAsia" w:hAnsiTheme="minorHAnsi" w:cstheme="minorBidi"/>
          <w:noProof/>
          <w:kern w:val="2"/>
          <w:sz w:val="24"/>
          <w:szCs w:val="24"/>
          <w:lang w:val="en-CA"/>
          <w14:ligatures w14:val="standardContextual"/>
        </w:rPr>
        <w:tab/>
      </w:r>
      <w:r>
        <w:rPr>
          <w:noProof/>
        </w:rPr>
        <w:t>Governance Opportunities</w:t>
      </w:r>
      <w:r>
        <w:rPr>
          <w:noProof/>
        </w:rPr>
        <w:tab/>
      </w:r>
      <w:r>
        <w:rPr>
          <w:noProof/>
        </w:rPr>
        <w:fldChar w:fldCharType="begin"/>
      </w:r>
      <w:r>
        <w:rPr>
          <w:noProof/>
        </w:rPr>
        <w:instrText xml:space="preserve"> PAGEREF _Toc133020860 \h </w:instrText>
      </w:r>
      <w:r>
        <w:rPr>
          <w:noProof/>
        </w:rPr>
      </w:r>
      <w:r>
        <w:rPr>
          <w:noProof/>
        </w:rPr>
        <w:fldChar w:fldCharType="separate"/>
      </w:r>
      <w:r>
        <w:rPr>
          <w:noProof/>
        </w:rPr>
        <w:t>44</w:t>
      </w:r>
      <w:r>
        <w:rPr>
          <w:noProof/>
        </w:rPr>
        <w:fldChar w:fldCharType="end"/>
      </w:r>
    </w:p>
    <w:p w14:paraId="231838CA" w14:textId="5BC457F1"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4.3</w:t>
      </w:r>
      <w:r>
        <w:rPr>
          <w:rFonts w:asciiTheme="minorHAnsi" w:eastAsiaTheme="minorEastAsia" w:hAnsiTheme="minorHAnsi" w:cstheme="minorBidi"/>
          <w:noProof/>
          <w:kern w:val="2"/>
          <w:sz w:val="24"/>
          <w:szCs w:val="24"/>
          <w:lang w:val="en-CA"/>
          <w14:ligatures w14:val="standardContextual"/>
        </w:rPr>
        <w:tab/>
      </w:r>
      <w:r>
        <w:rPr>
          <w:noProof/>
        </w:rPr>
        <w:t>Current State of Affairs</w:t>
      </w:r>
      <w:r>
        <w:rPr>
          <w:noProof/>
        </w:rPr>
        <w:tab/>
      </w:r>
      <w:r>
        <w:rPr>
          <w:noProof/>
        </w:rPr>
        <w:fldChar w:fldCharType="begin"/>
      </w:r>
      <w:r>
        <w:rPr>
          <w:noProof/>
        </w:rPr>
        <w:instrText xml:space="preserve"> PAGEREF _Toc133020861 \h </w:instrText>
      </w:r>
      <w:r>
        <w:rPr>
          <w:noProof/>
        </w:rPr>
      </w:r>
      <w:r>
        <w:rPr>
          <w:noProof/>
        </w:rPr>
        <w:fldChar w:fldCharType="separate"/>
      </w:r>
      <w:r>
        <w:rPr>
          <w:noProof/>
        </w:rPr>
        <w:t>45</w:t>
      </w:r>
      <w:r>
        <w:rPr>
          <w:noProof/>
        </w:rPr>
        <w:fldChar w:fldCharType="end"/>
      </w:r>
    </w:p>
    <w:p w14:paraId="734767B5" w14:textId="5CCF9608"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5</w:t>
      </w:r>
      <w:r>
        <w:rPr>
          <w:rFonts w:asciiTheme="minorHAnsi" w:eastAsiaTheme="minorEastAsia" w:hAnsiTheme="minorHAnsi" w:cstheme="minorBidi"/>
          <w:noProof/>
          <w:kern w:val="2"/>
          <w:sz w:val="24"/>
          <w:szCs w:val="24"/>
          <w:lang w:val="en-CA"/>
          <w14:ligatures w14:val="standardContextual"/>
        </w:rPr>
        <w:tab/>
      </w:r>
      <w:r>
        <w:rPr>
          <w:noProof/>
        </w:rPr>
        <w:t>Chapter 5  Discussion</w:t>
      </w:r>
      <w:r>
        <w:rPr>
          <w:noProof/>
        </w:rPr>
        <w:tab/>
      </w:r>
      <w:r>
        <w:rPr>
          <w:noProof/>
        </w:rPr>
        <w:fldChar w:fldCharType="begin"/>
      </w:r>
      <w:r>
        <w:rPr>
          <w:noProof/>
        </w:rPr>
        <w:instrText xml:space="preserve"> PAGEREF _Toc133020862 \h </w:instrText>
      </w:r>
      <w:r>
        <w:rPr>
          <w:noProof/>
        </w:rPr>
      </w:r>
      <w:r>
        <w:rPr>
          <w:noProof/>
        </w:rPr>
        <w:fldChar w:fldCharType="separate"/>
      </w:r>
      <w:r>
        <w:rPr>
          <w:noProof/>
        </w:rPr>
        <w:t>46</w:t>
      </w:r>
      <w:r>
        <w:rPr>
          <w:noProof/>
        </w:rPr>
        <w:fldChar w:fldCharType="end"/>
      </w:r>
    </w:p>
    <w:p w14:paraId="15629227" w14:textId="14C5BA00"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5.1</w:t>
      </w:r>
      <w:r>
        <w:rPr>
          <w:rFonts w:asciiTheme="minorHAnsi" w:eastAsiaTheme="minorEastAsia" w:hAnsiTheme="minorHAnsi" w:cstheme="minorBidi"/>
          <w:noProof/>
          <w:kern w:val="2"/>
          <w:sz w:val="24"/>
          <w:szCs w:val="24"/>
          <w:lang w:val="en-CA"/>
          <w14:ligatures w14:val="standardContextual"/>
        </w:rPr>
        <w:tab/>
      </w:r>
      <w:r>
        <w:rPr>
          <w:noProof/>
        </w:rPr>
        <w:t>Introduction</w:t>
      </w:r>
      <w:r>
        <w:rPr>
          <w:noProof/>
        </w:rPr>
        <w:tab/>
      </w:r>
      <w:r>
        <w:rPr>
          <w:noProof/>
        </w:rPr>
        <w:fldChar w:fldCharType="begin"/>
      </w:r>
      <w:r>
        <w:rPr>
          <w:noProof/>
        </w:rPr>
        <w:instrText xml:space="preserve"> PAGEREF _Toc133020863 \h </w:instrText>
      </w:r>
      <w:r>
        <w:rPr>
          <w:noProof/>
        </w:rPr>
      </w:r>
      <w:r>
        <w:rPr>
          <w:noProof/>
        </w:rPr>
        <w:fldChar w:fldCharType="separate"/>
      </w:r>
      <w:r>
        <w:rPr>
          <w:noProof/>
        </w:rPr>
        <w:t>46</w:t>
      </w:r>
      <w:r>
        <w:rPr>
          <w:noProof/>
        </w:rPr>
        <w:fldChar w:fldCharType="end"/>
      </w:r>
    </w:p>
    <w:p w14:paraId="018D9E57" w14:textId="7FA53168"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5.2</w:t>
      </w:r>
      <w:r>
        <w:rPr>
          <w:rFonts w:asciiTheme="minorHAnsi" w:eastAsiaTheme="minorEastAsia" w:hAnsiTheme="minorHAnsi" w:cstheme="minorBidi"/>
          <w:noProof/>
          <w:kern w:val="2"/>
          <w:sz w:val="24"/>
          <w:szCs w:val="24"/>
          <w:lang w:val="en-CA"/>
          <w14:ligatures w14:val="standardContextual"/>
        </w:rPr>
        <w:tab/>
      </w:r>
      <w:r>
        <w:rPr>
          <w:noProof/>
        </w:rPr>
        <w:t>Static Governance</w:t>
      </w:r>
      <w:r>
        <w:rPr>
          <w:noProof/>
        </w:rPr>
        <w:tab/>
      </w:r>
      <w:r>
        <w:rPr>
          <w:noProof/>
        </w:rPr>
        <w:fldChar w:fldCharType="begin"/>
      </w:r>
      <w:r>
        <w:rPr>
          <w:noProof/>
        </w:rPr>
        <w:instrText xml:space="preserve"> PAGEREF _Toc133020864 \h </w:instrText>
      </w:r>
      <w:r>
        <w:rPr>
          <w:noProof/>
        </w:rPr>
      </w:r>
      <w:r>
        <w:rPr>
          <w:noProof/>
        </w:rPr>
        <w:fldChar w:fldCharType="separate"/>
      </w:r>
      <w:r>
        <w:rPr>
          <w:noProof/>
        </w:rPr>
        <w:t>47</w:t>
      </w:r>
      <w:r>
        <w:rPr>
          <w:noProof/>
        </w:rPr>
        <w:fldChar w:fldCharType="end"/>
      </w:r>
    </w:p>
    <w:p w14:paraId="31001D9D" w14:textId="593341B2"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5.3</w:t>
      </w:r>
      <w:r>
        <w:rPr>
          <w:rFonts w:asciiTheme="minorHAnsi" w:eastAsiaTheme="minorEastAsia" w:hAnsiTheme="minorHAnsi" w:cstheme="minorBidi"/>
          <w:noProof/>
          <w:kern w:val="2"/>
          <w:sz w:val="24"/>
          <w:szCs w:val="24"/>
          <w:lang w:val="en-CA"/>
          <w14:ligatures w14:val="standardContextual"/>
        </w:rPr>
        <w:tab/>
      </w:r>
      <w:r>
        <w:rPr>
          <w:noProof/>
        </w:rPr>
        <w:t>Factors of Change</w:t>
      </w:r>
      <w:r>
        <w:rPr>
          <w:noProof/>
        </w:rPr>
        <w:tab/>
      </w:r>
      <w:r>
        <w:rPr>
          <w:noProof/>
        </w:rPr>
        <w:fldChar w:fldCharType="begin"/>
      </w:r>
      <w:r>
        <w:rPr>
          <w:noProof/>
        </w:rPr>
        <w:instrText xml:space="preserve"> PAGEREF _Toc133020865 \h </w:instrText>
      </w:r>
      <w:r>
        <w:rPr>
          <w:noProof/>
        </w:rPr>
      </w:r>
      <w:r>
        <w:rPr>
          <w:noProof/>
        </w:rPr>
        <w:fldChar w:fldCharType="separate"/>
      </w:r>
      <w:r>
        <w:rPr>
          <w:noProof/>
        </w:rPr>
        <w:t>49</w:t>
      </w:r>
      <w:r>
        <w:rPr>
          <w:noProof/>
        </w:rPr>
        <w:fldChar w:fldCharType="end"/>
      </w:r>
    </w:p>
    <w:p w14:paraId="6C7CD7BE" w14:textId="2699EB4B"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5.3.1</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Climate change</w:t>
      </w:r>
      <w:r>
        <w:rPr>
          <w:noProof/>
        </w:rPr>
        <w:tab/>
      </w:r>
      <w:r>
        <w:rPr>
          <w:noProof/>
        </w:rPr>
        <w:fldChar w:fldCharType="begin"/>
      </w:r>
      <w:r>
        <w:rPr>
          <w:noProof/>
        </w:rPr>
        <w:instrText xml:space="preserve"> PAGEREF _Toc133020866 \h </w:instrText>
      </w:r>
      <w:r>
        <w:rPr>
          <w:noProof/>
        </w:rPr>
      </w:r>
      <w:r>
        <w:rPr>
          <w:noProof/>
        </w:rPr>
        <w:fldChar w:fldCharType="separate"/>
      </w:r>
      <w:r>
        <w:rPr>
          <w:noProof/>
        </w:rPr>
        <w:t>49</w:t>
      </w:r>
      <w:r>
        <w:rPr>
          <w:noProof/>
        </w:rPr>
        <w:fldChar w:fldCharType="end"/>
      </w:r>
    </w:p>
    <w:p w14:paraId="0C6D72D9" w14:textId="4A8D1AC8"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5.3.2</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Carrying Capacity of Region</w:t>
      </w:r>
      <w:r>
        <w:rPr>
          <w:noProof/>
        </w:rPr>
        <w:tab/>
      </w:r>
      <w:r>
        <w:rPr>
          <w:noProof/>
        </w:rPr>
        <w:fldChar w:fldCharType="begin"/>
      </w:r>
      <w:r>
        <w:rPr>
          <w:noProof/>
        </w:rPr>
        <w:instrText xml:space="preserve"> PAGEREF _Toc133020867 \h </w:instrText>
      </w:r>
      <w:r>
        <w:rPr>
          <w:noProof/>
        </w:rPr>
      </w:r>
      <w:r>
        <w:rPr>
          <w:noProof/>
        </w:rPr>
        <w:fldChar w:fldCharType="separate"/>
      </w:r>
      <w:r>
        <w:rPr>
          <w:noProof/>
        </w:rPr>
        <w:t>50</w:t>
      </w:r>
      <w:r>
        <w:rPr>
          <w:noProof/>
        </w:rPr>
        <w:fldChar w:fldCharType="end"/>
      </w:r>
    </w:p>
    <w:p w14:paraId="5DDBB065" w14:textId="39815543"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Pr>
          <w:noProof/>
        </w:rPr>
        <w:t>5.3.3</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Evolving role of Indigenous Authorities</w:t>
      </w:r>
      <w:r>
        <w:rPr>
          <w:noProof/>
        </w:rPr>
        <w:tab/>
      </w:r>
      <w:r>
        <w:rPr>
          <w:noProof/>
        </w:rPr>
        <w:fldChar w:fldCharType="begin"/>
      </w:r>
      <w:r>
        <w:rPr>
          <w:noProof/>
        </w:rPr>
        <w:instrText xml:space="preserve"> PAGEREF _Toc133020868 \h </w:instrText>
      </w:r>
      <w:r>
        <w:rPr>
          <w:noProof/>
        </w:rPr>
      </w:r>
      <w:r>
        <w:rPr>
          <w:noProof/>
        </w:rPr>
        <w:fldChar w:fldCharType="separate"/>
      </w:r>
      <w:r>
        <w:rPr>
          <w:noProof/>
        </w:rPr>
        <w:t>50</w:t>
      </w:r>
      <w:r>
        <w:rPr>
          <w:noProof/>
        </w:rPr>
        <w:fldChar w:fldCharType="end"/>
      </w:r>
    </w:p>
    <w:p w14:paraId="500AEA0F" w14:textId="10026B4D"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5.4</w:t>
      </w:r>
      <w:r>
        <w:rPr>
          <w:rFonts w:asciiTheme="minorHAnsi" w:eastAsiaTheme="minorEastAsia" w:hAnsiTheme="minorHAnsi" w:cstheme="minorBidi"/>
          <w:noProof/>
          <w:kern w:val="2"/>
          <w:sz w:val="24"/>
          <w:szCs w:val="24"/>
          <w:lang w:val="en-CA"/>
          <w14:ligatures w14:val="standardContextual"/>
        </w:rPr>
        <w:tab/>
      </w:r>
      <w:r>
        <w:rPr>
          <w:noProof/>
        </w:rPr>
        <w:t>Challenges to Adaptive Governance</w:t>
      </w:r>
      <w:r>
        <w:rPr>
          <w:noProof/>
        </w:rPr>
        <w:tab/>
      </w:r>
      <w:r>
        <w:rPr>
          <w:noProof/>
        </w:rPr>
        <w:fldChar w:fldCharType="begin"/>
      </w:r>
      <w:r>
        <w:rPr>
          <w:noProof/>
        </w:rPr>
        <w:instrText xml:space="preserve"> PAGEREF _Toc133020869 \h </w:instrText>
      </w:r>
      <w:r>
        <w:rPr>
          <w:noProof/>
        </w:rPr>
      </w:r>
      <w:r>
        <w:rPr>
          <w:noProof/>
        </w:rPr>
        <w:fldChar w:fldCharType="separate"/>
      </w:r>
      <w:r>
        <w:rPr>
          <w:noProof/>
        </w:rPr>
        <w:t>51</w:t>
      </w:r>
      <w:r>
        <w:rPr>
          <w:noProof/>
        </w:rPr>
        <w:fldChar w:fldCharType="end"/>
      </w:r>
    </w:p>
    <w:p w14:paraId="4DC21358" w14:textId="4A27B1B0"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5.4.1</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Lack of Shared Objectives</w:t>
      </w:r>
      <w:r>
        <w:rPr>
          <w:noProof/>
        </w:rPr>
        <w:tab/>
      </w:r>
      <w:r>
        <w:rPr>
          <w:noProof/>
        </w:rPr>
        <w:fldChar w:fldCharType="begin"/>
      </w:r>
      <w:r>
        <w:rPr>
          <w:noProof/>
        </w:rPr>
        <w:instrText xml:space="preserve"> PAGEREF _Toc133020870 \h </w:instrText>
      </w:r>
      <w:r>
        <w:rPr>
          <w:noProof/>
        </w:rPr>
      </w:r>
      <w:r>
        <w:rPr>
          <w:noProof/>
        </w:rPr>
        <w:fldChar w:fldCharType="separate"/>
      </w:r>
      <w:r>
        <w:rPr>
          <w:noProof/>
        </w:rPr>
        <w:t>51</w:t>
      </w:r>
      <w:r>
        <w:rPr>
          <w:noProof/>
        </w:rPr>
        <w:fldChar w:fldCharType="end"/>
      </w:r>
    </w:p>
    <w:p w14:paraId="296D0544" w14:textId="20C5EAA9"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5.4.2</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Sub-optimal Governance</w:t>
      </w:r>
      <w:r>
        <w:rPr>
          <w:noProof/>
        </w:rPr>
        <w:tab/>
      </w:r>
      <w:r>
        <w:rPr>
          <w:noProof/>
        </w:rPr>
        <w:fldChar w:fldCharType="begin"/>
      </w:r>
      <w:r>
        <w:rPr>
          <w:noProof/>
        </w:rPr>
        <w:instrText xml:space="preserve"> PAGEREF _Toc133020871 \h </w:instrText>
      </w:r>
      <w:r>
        <w:rPr>
          <w:noProof/>
        </w:rPr>
      </w:r>
      <w:r>
        <w:rPr>
          <w:noProof/>
        </w:rPr>
        <w:fldChar w:fldCharType="separate"/>
      </w:r>
      <w:r>
        <w:rPr>
          <w:noProof/>
        </w:rPr>
        <w:t>53</w:t>
      </w:r>
      <w:r>
        <w:rPr>
          <w:noProof/>
        </w:rPr>
        <w:fldChar w:fldCharType="end"/>
      </w:r>
    </w:p>
    <w:p w14:paraId="566FC390" w14:textId="65276494"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5.4.3</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Minimal Public Awareness and Support</w:t>
      </w:r>
      <w:r>
        <w:rPr>
          <w:noProof/>
        </w:rPr>
        <w:tab/>
      </w:r>
      <w:r>
        <w:rPr>
          <w:noProof/>
        </w:rPr>
        <w:fldChar w:fldCharType="begin"/>
      </w:r>
      <w:r>
        <w:rPr>
          <w:noProof/>
        </w:rPr>
        <w:instrText xml:space="preserve"> PAGEREF _Toc133020872 \h </w:instrText>
      </w:r>
      <w:r>
        <w:rPr>
          <w:noProof/>
        </w:rPr>
      </w:r>
      <w:r>
        <w:rPr>
          <w:noProof/>
        </w:rPr>
        <w:fldChar w:fldCharType="separate"/>
      </w:r>
      <w:r>
        <w:rPr>
          <w:noProof/>
        </w:rPr>
        <w:t>54</w:t>
      </w:r>
      <w:r>
        <w:rPr>
          <w:noProof/>
        </w:rPr>
        <w:fldChar w:fldCharType="end"/>
      </w:r>
    </w:p>
    <w:p w14:paraId="18AE5E8E" w14:textId="5BB63797"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5.4.4</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Need for Significant Financial and Human Capital</w:t>
      </w:r>
      <w:r>
        <w:rPr>
          <w:noProof/>
        </w:rPr>
        <w:tab/>
      </w:r>
      <w:r>
        <w:rPr>
          <w:noProof/>
        </w:rPr>
        <w:fldChar w:fldCharType="begin"/>
      </w:r>
      <w:r>
        <w:rPr>
          <w:noProof/>
        </w:rPr>
        <w:instrText xml:space="preserve"> PAGEREF _Toc133020873 \h </w:instrText>
      </w:r>
      <w:r>
        <w:rPr>
          <w:noProof/>
        </w:rPr>
      </w:r>
      <w:r>
        <w:rPr>
          <w:noProof/>
        </w:rPr>
        <w:fldChar w:fldCharType="separate"/>
      </w:r>
      <w:r>
        <w:rPr>
          <w:noProof/>
        </w:rPr>
        <w:t>55</w:t>
      </w:r>
      <w:r>
        <w:rPr>
          <w:noProof/>
        </w:rPr>
        <w:fldChar w:fldCharType="end"/>
      </w:r>
    </w:p>
    <w:p w14:paraId="746E2EFF" w14:textId="45C7ADA9" w:rsidR="002664E4" w:rsidRDefault="002664E4">
      <w:pPr>
        <w:pStyle w:val="TOC3"/>
        <w:tabs>
          <w:tab w:val="left" w:pos="16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000000"/>
        </w:rPr>
        <w:t>5.4.5</w:t>
      </w:r>
      <w:r>
        <w:rPr>
          <w:rFonts w:asciiTheme="minorHAnsi" w:eastAsiaTheme="minorEastAsia" w:hAnsiTheme="minorHAnsi" w:cstheme="minorBidi"/>
          <w:noProof/>
          <w:kern w:val="2"/>
          <w:sz w:val="24"/>
          <w:szCs w:val="24"/>
          <w:lang w:val="en-CA"/>
          <w14:ligatures w14:val="standardContextual"/>
        </w:rPr>
        <w:tab/>
      </w:r>
      <w:r w:rsidRPr="000276D8">
        <w:rPr>
          <w:noProof/>
          <w:color w:val="000000"/>
        </w:rPr>
        <w:t>Capacity Development and Social Learning</w:t>
      </w:r>
      <w:r>
        <w:rPr>
          <w:noProof/>
        </w:rPr>
        <w:tab/>
      </w:r>
      <w:r>
        <w:rPr>
          <w:noProof/>
        </w:rPr>
        <w:fldChar w:fldCharType="begin"/>
      </w:r>
      <w:r>
        <w:rPr>
          <w:noProof/>
        </w:rPr>
        <w:instrText xml:space="preserve"> PAGEREF _Toc133020874 \h </w:instrText>
      </w:r>
      <w:r>
        <w:rPr>
          <w:noProof/>
        </w:rPr>
      </w:r>
      <w:r>
        <w:rPr>
          <w:noProof/>
        </w:rPr>
        <w:fldChar w:fldCharType="separate"/>
      </w:r>
      <w:r>
        <w:rPr>
          <w:noProof/>
        </w:rPr>
        <w:t>56</w:t>
      </w:r>
      <w:r>
        <w:rPr>
          <w:noProof/>
        </w:rPr>
        <w:fldChar w:fldCharType="end"/>
      </w:r>
    </w:p>
    <w:p w14:paraId="420DDC6E" w14:textId="30DA9E89"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6</w:t>
      </w:r>
      <w:r>
        <w:rPr>
          <w:rFonts w:asciiTheme="minorHAnsi" w:eastAsiaTheme="minorEastAsia" w:hAnsiTheme="minorHAnsi" w:cstheme="minorBidi"/>
          <w:noProof/>
          <w:kern w:val="2"/>
          <w:sz w:val="24"/>
          <w:szCs w:val="24"/>
          <w:lang w:val="en-CA"/>
          <w14:ligatures w14:val="standardContextual"/>
        </w:rPr>
        <w:tab/>
      </w:r>
      <w:r>
        <w:rPr>
          <w:noProof/>
        </w:rPr>
        <w:t>Chapter 6  Conclusion</w:t>
      </w:r>
      <w:r>
        <w:rPr>
          <w:noProof/>
        </w:rPr>
        <w:tab/>
      </w:r>
      <w:r>
        <w:rPr>
          <w:noProof/>
        </w:rPr>
        <w:fldChar w:fldCharType="begin"/>
      </w:r>
      <w:r>
        <w:rPr>
          <w:noProof/>
        </w:rPr>
        <w:instrText xml:space="preserve"> PAGEREF _Toc133020875 \h </w:instrText>
      </w:r>
      <w:r>
        <w:rPr>
          <w:noProof/>
        </w:rPr>
      </w:r>
      <w:r>
        <w:rPr>
          <w:noProof/>
        </w:rPr>
        <w:fldChar w:fldCharType="separate"/>
      </w:r>
      <w:r>
        <w:rPr>
          <w:noProof/>
        </w:rPr>
        <w:t>58</w:t>
      </w:r>
      <w:r>
        <w:rPr>
          <w:noProof/>
        </w:rPr>
        <w:fldChar w:fldCharType="end"/>
      </w:r>
    </w:p>
    <w:p w14:paraId="28CE421A" w14:textId="3AE5F00B"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6.1</w:t>
      </w:r>
      <w:r>
        <w:rPr>
          <w:rFonts w:asciiTheme="minorHAnsi" w:eastAsiaTheme="minorEastAsia" w:hAnsiTheme="minorHAnsi" w:cstheme="minorBidi"/>
          <w:noProof/>
          <w:kern w:val="2"/>
          <w:sz w:val="24"/>
          <w:szCs w:val="24"/>
          <w:lang w:val="en-CA"/>
          <w14:ligatures w14:val="standardContextual"/>
        </w:rPr>
        <w:tab/>
      </w:r>
      <w:r>
        <w:rPr>
          <w:noProof/>
        </w:rPr>
        <w:t>Conclusion</w:t>
      </w:r>
      <w:r>
        <w:rPr>
          <w:noProof/>
        </w:rPr>
        <w:tab/>
      </w:r>
      <w:r>
        <w:rPr>
          <w:noProof/>
        </w:rPr>
        <w:fldChar w:fldCharType="begin"/>
      </w:r>
      <w:r>
        <w:rPr>
          <w:noProof/>
        </w:rPr>
        <w:instrText xml:space="preserve"> PAGEREF _Toc133020876 \h </w:instrText>
      </w:r>
      <w:r>
        <w:rPr>
          <w:noProof/>
        </w:rPr>
      </w:r>
      <w:r>
        <w:rPr>
          <w:noProof/>
        </w:rPr>
        <w:fldChar w:fldCharType="separate"/>
      </w:r>
      <w:r>
        <w:rPr>
          <w:noProof/>
        </w:rPr>
        <w:t>58</w:t>
      </w:r>
      <w:r>
        <w:rPr>
          <w:noProof/>
        </w:rPr>
        <w:fldChar w:fldCharType="end"/>
      </w:r>
    </w:p>
    <w:p w14:paraId="0BCAA6A1" w14:textId="39EDB94B" w:rsidR="002664E4" w:rsidRDefault="002664E4">
      <w:pPr>
        <w:pStyle w:val="TOC2"/>
        <w:tabs>
          <w:tab w:val="left" w:pos="1440"/>
          <w:tab w:val="right" w:leader="dot" w:pos="8630"/>
        </w:tabs>
        <w:rPr>
          <w:rFonts w:asciiTheme="minorHAnsi" w:eastAsiaTheme="minorEastAsia" w:hAnsiTheme="minorHAnsi" w:cstheme="minorBidi"/>
          <w:noProof/>
          <w:kern w:val="2"/>
          <w:sz w:val="24"/>
          <w:szCs w:val="24"/>
          <w:lang w:val="en-CA"/>
          <w14:ligatures w14:val="standardContextual"/>
        </w:rPr>
      </w:pPr>
      <w:r>
        <w:rPr>
          <w:noProof/>
        </w:rPr>
        <w:t>6.2</w:t>
      </w:r>
      <w:r>
        <w:rPr>
          <w:rFonts w:asciiTheme="minorHAnsi" w:eastAsiaTheme="minorEastAsia" w:hAnsiTheme="minorHAnsi" w:cstheme="minorBidi"/>
          <w:noProof/>
          <w:kern w:val="2"/>
          <w:sz w:val="24"/>
          <w:szCs w:val="24"/>
          <w:lang w:val="en-CA"/>
          <w14:ligatures w14:val="standardContextual"/>
        </w:rPr>
        <w:tab/>
      </w:r>
      <w:r>
        <w:rPr>
          <w:noProof/>
        </w:rPr>
        <w:t>Study Limitations and Future Research Directions</w:t>
      </w:r>
      <w:r>
        <w:rPr>
          <w:noProof/>
        </w:rPr>
        <w:tab/>
      </w:r>
      <w:r>
        <w:rPr>
          <w:noProof/>
        </w:rPr>
        <w:fldChar w:fldCharType="begin"/>
      </w:r>
      <w:r>
        <w:rPr>
          <w:noProof/>
        </w:rPr>
        <w:instrText xml:space="preserve"> PAGEREF _Toc133020877 \h </w:instrText>
      </w:r>
      <w:r>
        <w:rPr>
          <w:noProof/>
        </w:rPr>
      </w:r>
      <w:r>
        <w:rPr>
          <w:noProof/>
        </w:rPr>
        <w:fldChar w:fldCharType="separate"/>
      </w:r>
      <w:r>
        <w:rPr>
          <w:noProof/>
        </w:rPr>
        <w:t>60</w:t>
      </w:r>
      <w:r>
        <w:rPr>
          <w:noProof/>
        </w:rPr>
        <w:fldChar w:fldCharType="end"/>
      </w:r>
    </w:p>
    <w:p w14:paraId="78673764" w14:textId="7B51400B"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t>7</w:t>
      </w:r>
      <w:r>
        <w:rPr>
          <w:rFonts w:asciiTheme="minorHAnsi" w:eastAsiaTheme="minorEastAsia" w:hAnsiTheme="minorHAnsi" w:cstheme="minorBidi"/>
          <w:noProof/>
          <w:kern w:val="2"/>
          <w:sz w:val="24"/>
          <w:szCs w:val="24"/>
          <w:lang w:val="en-CA"/>
          <w14:ligatures w14:val="standardContextual"/>
        </w:rPr>
        <w:tab/>
      </w:r>
      <w:r>
        <w:rPr>
          <w:noProof/>
        </w:rPr>
        <w:t>Appendix 1: Interview Questions</w:t>
      </w:r>
      <w:r>
        <w:rPr>
          <w:noProof/>
        </w:rPr>
        <w:tab/>
      </w:r>
      <w:r>
        <w:rPr>
          <w:noProof/>
        </w:rPr>
        <w:fldChar w:fldCharType="begin"/>
      </w:r>
      <w:r>
        <w:rPr>
          <w:noProof/>
        </w:rPr>
        <w:instrText xml:space="preserve"> PAGEREF _Toc133020878 \h </w:instrText>
      </w:r>
      <w:r>
        <w:rPr>
          <w:noProof/>
        </w:rPr>
      </w:r>
      <w:r>
        <w:rPr>
          <w:noProof/>
        </w:rPr>
        <w:fldChar w:fldCharType="separate"/>
      </w:r>
      <w:r>
        <w:rPr>
          <w:noProof/>
        </w:rPr>
        <w:t>61</w:t>
      </w:r>
      <w:r>
        <w:rPr>
          <w:noProof/>
        </w:rPr>
        <w:fldChar w:fldCharType="end"/>
      </w:r>
    </w:p>
    <w:p w14:paraId="2AC4ED6B" w14:textId="5D6ABC37" w:rsidR="002664E4" w:rsidRDefault="002664E4">
      <w:pPr>
        <w:pStyle w:val="TOC1"/>
        <w:tabs>
          <w:tab w:val="left" w:pos="480"/>
          <w:tab w:val="right" w:leader="dot" w:pos="8630"/>
        </w:tabs>
        <w:rPr>
          <w:rFonts w:asciiTheme="minorHAnsi" w:eastAsiaTheme="minorEastAsia" w:hAnsiTheme="minorHAnsi" w:cstheme="minorBidi"/>
          <w:noProof/>
          <w:kern w:val="2"/>
          <w:sz w:val="24"/>
          <w:szCs w:val="24"/>
          <w:lang w:val="en-CA"/>
          <w14:ligatures w14:val="standardContextual"/>
        </w:rPr>
      </w:pPr>
      <w:r w:rsidRPr="000276D8">
        <w:rPr>
          <w:noProof/>
          <w:color w:val="FFFFFF" w:themeColor="background1"/>
        </w:rPr>
        <w:lastRenderedPageBreak/>
        <w:t>8</w:t>
      </w:r>
      <w:r>
        <w:rPr>
          <w:rFonts w:asciiTheme="minorHAnsi" w:eastAsiaTheme="minorEastAsia" w:hAnsiTheme="minorHAnsi" w:cstheme="minorBidi"/>
          <w:noProof/>
          <w:kern w:val="2"/>
          <w:sz w:val="24"/>
          <w:szCs w:val="24"/>
          <w:lang w:val="en-CA"/>
          <w14:ligatures w14:val="standardContextual"/>
        </w:rPr>
        <w:tab/>
      </w:r>
      <w:r>
        <w:rPr>
          <w:noProof/>
        </w:rPr>
        <w:t>References Cited</w:t>
      </w:r>
      <w:r>
        <w:rPr>
          <w:noProof/>
        </w:rPr>
        <w:tab/>
      </w:r>
      <w:r>
        <w:rPr>
          <w:noProof/>
        </w:rPr>
        <w:fldChar w:fldCharType="begin"/>
      </w:r>
      <w:r>
        <w:rPr>
          <w:noProof/>
        </w:rPr>
        <w:instrText xml:space="preserve"> PAGEREF _Toc133020879 \h </w:instrText>
      </w:r>
      <w:r>
        <w:rPr>
          <w:noProof/>
        </w:rPr>
      </w:r>
      <w:r>
        <w:rPr>
          <w:noProof/>
        </w:rPr>
        <w:fldChar w:fldCharType="separate"/>
      </w:r>
      <w:r>
        <w:rPr>
          <w:noProof/>
        </w:rPr>
        <w:t>63</w:t>
      </w:r>
      <w:r>
        <w:rPr>
          <w:noProof/>
        </w:rPr>
        <w:fldChar w:fldCharType="end"/>
      </w:r>
    </w:p>
    <w:p w14:paraId="654F770D" w14:textId="5FD4DF89" w:rsidR="001063B6" w:rsidRPr="001063B6" w:rsidRDefault="00CE6C25" w:rsidP="000C53BC">
      <w:pPr>
        <w:pStyle w:val="TOC1"/>
        <w:tabs>
          <w:tab w:val="right" w:leader="dot" w:pos="8630"/>
        </w:tabs>
        <w:spacing w:line="480" w:lineRule="auto"/>
      </w:pPr>
      <w:r>
        <w:fldChar w:fldCharType="end"/>
      </w:r>
    </w:p>
    <w:p w14:paraId="6A5789F7" w14:textId="77777777" w:rsidR="00514B67" w:rsidRDefault="0016558E" w:rsidP="000C53BC">
      <w:pPr>
        <w:pStyle w:val="Heading1"/>
        <w:numPr>
          <w:ilvl w:val="0"/>
          <w:numId w:val="36"/>
        </w:numPr>
        <w:spacing w:line="480" w:lineRule="auto"/>
      </w:pPr>
      <w:bookmarkStart w:id="4" w:name="_Toc133020822"/>
      <w:r>
        <w:lastRenderedPageBreak/>
        <w:t xml:space="preserve">Chapter </w:t>
      </w:r>
      <w:r w:rsidR="002F29FB">
        <w:t>1</w:t>
      </w:r>
      <w:r w:rsidR="003C2443">
        <w:br/>
      </w:r>
      <w:r w:rsidR="003C2443">
        <w:br/>
      </w:r>
      <w:r w:rsidR="0013133A">
        <w:t>Introduction</w:t>
      </w:r>
      <w:bookmarkEnd w:id="4"/>
    </w:p>
    <w:p w14:paraId="1D0FD858" w14:textId="0568B07B" w:rsidR="00BC1DFE" w:rsidRDefault="008C50C2" w:rsidP="008C50C2">
      <w:pPr>
        <w:spacing w:line="480" w:lineRule="auto"/>
        <w:rPr>
          <w:rFonts w:ascii="Times" w:hAnsi="Times"/>
        </w:rPr>
      </w:pPr>
      <w:r>
        <w:rPr>
          <w:noProof/>
        </w:rPr>
        <mc:AlternateContent>
          <mc:Choice Requires="wps">
            <w:drawing>
              <wp:anchor distT="0" distB="0" distL="114300" distR="114300" simplePos="0" relativeHeight="251666432" behindDoc="0" locked="0" layoutInCell="1" allowOverlap="1" wp14:anchorId="62EA47EA" wp14:editId="35AFF828">
                <wp:simplePos x="0" y="0"/>
                <wp:positionH relativeFrom="column">
                  <wp:posOffset>91440</wp:posOffset>
                </wp:positionH>
                <wp:positionV relativeFrom="paragraph">
                  <wp:posOffset>5500370</wp:posOffset>
                </wp:positionV>
                <wp:extent cx="5486400" cy="457200"/>
                <wp:effectExtent l="0" t="0" r="0" b="0"/>
                <wp:wrapTopAndBottom/>
                <wp:docPr id="46420477" name="Text Box 1"/>
                <wp:cNvGraphicFramePr/>
                <a:graphic xmlns:a="http://schemas.openxmlformats.org/drawingml/2006/main">
                  <a:graphicData uri="http://schemas.microsoft.com/office/word/2010/wordprocessingShape">
                    <wps:wsp>
                      <wps:cNvSpPr txBox="1"/>
                      <wps:spPr>
                        <a:xfrm>
                          <a:off x="0" y="0"/>
                          <a:ext cx="5486400" cy="457200"/>
                        </a:xfrm>
                        <a:prstGeom prst="rect">
                          <a:avLst/>
                        </a:prstGeom>
                        <a:solidFill>
                          <a:prstClr val="white"/>
                        </a:solidFill>
                        <a:ln>
                          <a:noFill/>
                        </a:ln>
                      </wps:spPr>
                      <wps:txbx>
                        <w:txbxContent>
                          <w:p w14:paraId="6FA984A0" w14:textId="53B0F79D" w:rsidR="005C4195" w:rsidRPr="00AF2B67" w:rsidRDefault="005C4195" w:rsidP="005C4195">
                            <w:pPr>
                              <w:pStyle w:val="Caption"/>
                              <w:rPr>
                                <w:noProof/>
                                <w:sz w:val="22"/>
                                <w:szCs w:val="22"/>
                              </w:rPr>
                            </w:pPr>
                            <w:r>
                              <w:t xml:space="preserve">Figure </w:t>
                            </w:r>
                            <w:r>
                              <w:fldChar w:fldCharType="begin"/>
                            </w:r>
                            <w:r>
                              <w:instrText xml:space="preserve"> SEQ Figure \* ARABIC </w:instrText>
                            </w:r>
                            <w:r>
                              <w:fldChar w:fldCharType="separate"/>
                            </w:r>
                            <w:r w:rsidR="00EB00AF">
                              <w:rPr>
                                <w:noProof/>
                              </w:rPr>
                              <w:t>1</w:t>
                            </w:r>
                            <w:r>
                              <w:fldChar w:fldCharType="end"/>
                            </w:r>
                            <w:r>
                              <w:t xml:space="preserve"> Map of the zones of the Fraser River Estuary. Source: BC Field Naturalists.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EA47EA" id="_x0000_t202" coordsize="21600,21600" o:spt="202" path="m,l,21600r21600,l21600,xe">
                <v:stroke joinstyle="miter"/>
                <v:path gradientshapeok="t" o:connecttype="rect"/>
              </v:shapetype>
              <v:shape id="Text Box 1" o:spid="_x0000_s1026" type="#_x0000_t202" style="position:absolute;left:0;text-align:left;margin-left:7.2pt;margin-top:433.1pt;width:6in;height:3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" stroked="f">
                <v:textbox inset="0,0,0,0">
                  <w:txbxContent>
                    <w:p w14:paraId="6FA984A0" w14:textId="53B0F79D" w:rsidR="005C4195" w:rsidRPr="00AF2B67" w:rsidRDefault="005C4195" w:rsidP="005C4195">
                      <w:pPr>
                        <w:pStyle w:val="Caption"/>
                        <w:rPr>
                          <w:noProof/>
                          <w:sz w:val="22"/>
                          <w:szCs w:val="22"/>
                        </w:rPr>
                      </w:pPr>
                      <w:r>
                        <w:t xml:space="preserve">Figure </w:t>
                      </w:r>
                      <w:r>
                        <w:fldChar w:fldCharType="begin"/>
                      </w:r>
                      <w:r>
                        <w:instrText xml:space="preserve"> SEQ Figure \* ARABIC </w:instrText>
                      </w:r>
                      <w:r>
                        <w:fldChar w:fldCharType="separate"/>
                      </w:r>
                      <w:r w:rsidR="00EB00AF">
                        <w:rPr>
                          <w:noProof/>
                        </w:rPr>
                        <w:t>1</w:t>
                      </w:r>
                      <w:r>
                        <w:fldChar w:fldCharType="end"/>
                      </w:r>
                      <w:r>
                        <w:t xml:space="preserve"> Map of the zones of the Fraser River Estuary. Source: BC Field Naturalists.</w:t>
                      </w:r>
                    </w:p>
                  </w:txbxContent>
                </v:textbox>
                <w10:wrap type="topAndBottom"/>
              </v:shape>
            </w:pict>
          </mc:Fallback>
        </mc:AlternateContent>
      </w:r>
      <w:r>
        <w:rPr>
          <w:noProof/>
        </w:rPr>
        <w:drawing>
          <wp:anchor distT="0" distB="0" distL="114300" distR="114300" simplePos="0" relativeHeight="251664384" behindDoc="0" locked="0" layoutInCell="1" allowOverlap="1" wp14:anchorId="4E394005" wp14:editId="2FC2E4C9">
            <wp:simplePos x="0" y="0"/>
            <wp:positionH relativeFrom="column">
              <wp:posOffset>90170</wp:posOffset>
            </wp:positionH>
            <wp:positionV relativeFrom="paragraph">
              <wp:posOffset>1377603</wp:posOffset>
            </wp:positionV>
            <wp:extent cx="5486400" cy="4126230"/>
            <wp:effectExtent l="0" t="0" r="0" b="1270"/>
            <wp:wrapTopAndBottom/>
            <wp:docPr id="834945512" name="Picture 2" descr="A map of the fraser riv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45512" name="Picture 2" descr="A map of the fraser river&#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126230"/>
                    </a:xfrm>
                    <a:prstGeom prst="rect">
                      <a:avLst/>
                    </a:prstGeom>
                  </pic:spPr>
                </pic:pic>
              </a:graphicData>
            </a:graphic>
            <wp14:sizeRelH relativeFrom="page">
              <wp14:pctWidth>0</wp14:pctWidth>
            </wp14:sizeRelH>
            <wp14:sizeRelV relativeFrom="page">
              <wp14:pctHeight>0</wp14:pctHeight>
            </wp14:sizeRelV>
          </wp:anchor>
        </w:drawing>
      </w:r>
      <w:r w:rsidR="0016258A" w:rsidRPr="0016258A">
        <w:rPr>
          <w:rFonts w:ascii="Times" w:hAnsi="Times"/>
        </w:rPr>
        <w:t xml:space="preserve"> From sea to sky, the Lower Mainland of British Columbia is known not only for gorgeous vistas with cargo ships crossing the horizon but also as western Canada’s largest metropolitan centre. With a continued increase in population and the associated urbanization pressures guaranteed, the region (as seen in Figure 1) is grappling with solutions to local climate risks today and </w:t>
      </w:r>
      <w:proofErr w:type="gramStart"/>
      <w:r w:rsidR="0016258A" w:rsidRPr="0016258A">
        <w:rPr>
          <w:rFonts w:ascii="Times" w:hAnsi="Times"/>
        </w:rPr>
        <w:t>in the near future</w:t>
      </w:r>
      <w:proofErr w:type="gramEnd"/>
      <w:r w:rsidR="0016258A" w:rsidRPr="0016258A">
        <w:rPr>
          <w:rFonts w:ascii="Times" w:hAnsi="Times"/>
        </w:rPr>
        <w:t xml:space="preserve">. Surrounding the Lower Mainland, the Fraser River Estuary is a site of international importance for many species of shorebirds, fish, and marine mammals, as </w:t>
      </w:r>
      <w:r w:rsidR="0016258A" w:rsidRPr="0016258A">
        <w:rPr>
          <w:rFonts w:ascii="Times" w:hAnsi="Times"/>
        </w:rPr>
        <w:lastRenderedPageBreak/>
        <w:t xml:space="preserve">recognized by its Ramsar designation as a Wetland of International Importance (Ramsar, 2012). Not only is it at the mouth of the largest salmon-bearing river in the world, but it is the most important site for migratory birds on the west coast of Canada (Ramsar, 2021, WHSRN, n.d.). With less than 30% of the habitat considered intact and 102 species at risk of local extinction, urgent action and investment are required within the governance system of the Fraser River Estuary to reverse the trend of ecological degradation in the name of development (Kehoe, 2021). </w:t>
      </w:r>
    </w:p>
    <w:p w14:paraId="68922F8D" w14:textId="77777777" w:rsidR="00E213DE" w:rsidRPr="00E213DE" w:rsidRDefault="00E213DE" w:rsidP="00E213DE">
      <w:pPr>
        <w:pStyle w:val="Body"/>
        <w:spacing w:line="480" w:lineRule="auto"/>
        <w:rPr>
          <w:rFonts w:ascii="Times" w:eastAsia="Times New Roman" w:hAnsi="Times" w:cs="Times New Roman"/>
          <w:color w:val="auto"/>
          <w:sz w:val="22"/>
          <w:szCs w:val="22"/>
          <w:bdr w:val="none" w:sz="0" w:space="0" w:color="auto"/>
          <w14:textOutline w14:w="0" w14:cap="rnd" w14:cmpd="sng" w14:algn="ctr">
            <w14:noFill/>
            <w14:prstDash w14:val="solid"/>
            <w14:bevel/>
          </w14:textOutline>
        </w:rPr>
      </w:pPr>
    </w:p>
    <w:p w14:paraId="4B37121C" w14:textId="77777777" w:rsidR="00E213DE" w:rsidRPr="00E213DE" w:rsidRDefault="00E213DE" w:rsidP="00E213DE">
      <w:pPr>
        <w:pStyle w:val="Body"/>
        <w:spacing w:line="480" w:lineRule="auto"/>
        <w:rPr>
          <w:rFonts w:ascii="Times" w:eastAsia="Times New Roman" w:hAnsi="Times" w:cs="Times New Roman"/>
          <w:color w:val="auto"/>
          <w:sz w:val="22"/>
          <w:szCs w:val="22"/>
          <w:bdr w:val="none" w:sz="0" w:space="0" w:color="auto"/>
          <w14:textOutline w14:w="0" w14:cap="rnd" w14:cmpd="sng" w14:algn="ctr">
            <w14:noFill/>
            <w14:prstDash w14:val="solid"/>
            <w14:bevel/>
          </w14:textOutline>
        </w:rPr>
      </w:pPr>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Across the world, coastal environments are undergoing significant changes as climate change alongside development pressures results in communities turning towards coastal resilience planning to bolster their ability to weather the coming decades (Halpern et al., 2015; Hartmann et al., 2013). Many of the same shoreline features that can help mitigate climate risk also provide essential habitats for species at risk of local extinction (Kehoe et al., 2021). However, conversations on climate adaptation often focus on the impacts of the loss of coastal areas on humans, ignoring the reality that many other species are losing the habitat they depend on for their survival and missing opportunities for climate adaptation projects to deliver multiple benefits, including the conservation of critical habitat for keystone species (</w:t>
      </w:r>
      <w:proofErr w:type="spellStart"/>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Torabi</w:t>
      </w:r>
      <w:proofErr w:type="spellEnd"/>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 xml:space="preserve"> et al., 2018; Gauthier et al., 2021; </w:t>
      </w:r>
      <w:proofErr w:type="spellStart"/>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Guerry</w:t>
      </w:r>
      <w:proofErr w:type="spellEnd"/>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 xml:space="preserve"> et al., 2022). In the Lower Mainland of British Columbia, the Fraser River Estuary is a crucial site for international biodiversity conservation, particularly that of migratory shorebirds. However, it also plays a vital role in coastal flooding mitigation (</w:t>
      </w:r>
      <w:proofErr w:type="spellStart"/>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Canham</w:t>
      </w:r>
      <w:proofErr w:type="spellEnd"/>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 xml:space="preserve"> et al., 2021; </w:t>
      </w:r>
      <w:proofErr w:type="spellStart"/>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Lokman</w:t>
      </w:r>
      <w:proofErr w:type="spellEnd"/>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 2019).</w:t>
      </w:r>
    </w:p>
    <w:p w14:paraId="72CD6766" w14:textId="1ABE8681" w:rsidR="00923C49" w:rsidRDefault="00E213DE" w:rsidP="00E213DE">
      <w:pPr>
        <w:pStyle w:val="Body"/>
        <w:spacing w:line="480" w:lineRule="auto"/>
        <w:ind w:firstLine="504"/>
        <w:rPr>
          <w:rFonts w:ascii="Times" w:eastAsia="Times New Roman" w:hAnsi="Times" w:cs="Times New Roman"/>
          <w:color w:val="auto"/>
          <w:sz w:val="22"/>
          <w:szCs w:val="22"/>
          <w:bdr w:val="none" w:sz="0" w:space="0" w:color="auto"/>
          <w14:textOutline w14:w="0" w14:cap="rnd" w14:cmpd="sng" w14:algn="ctr">
            <w14:noFill/>
            <w14:prstDash w14:val="solid"/>
            <w14:bevel/>
          </w14:textOutline>
        </w:rPr>
      </w:pPr>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Significant research is taking place on the Fraser River Estuary addressing both the conservation of biodiversity and coastal resilience planning (</w:t>
      </w:r>
      <w:proofErr w:type="spellStart"/>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Canham</w:t>
      </w:r>
      <w:proofErr w:type="spellEnd"/>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t xml:space="preserve"> et al., 2021; Kehoe et al., 2021; Jardine et al., 2015; Hobson et al., 2022). While the increasing availability of information on the Estuary benefits all, it is only as effective as its application in informing its governance system (Kehoe et al., 2021). Given the reality of climate change, the needs of shorebirds and continued population pressures, attention to governance is vital to understand how well prepared the </w:t>
      </w:r>
      <w:r w:rsidRPr="00E213DE">
        <w:rPr>
          <w:rFonts w:ascii="Times" w:eastAsia="Times New Roman" w:hAnsi="Times" w:cs="Times New Roman"/>
          <w:color w:val="auto"/>
          <w:sz w:val="22"/>
          <w:szCs w:val="22"/>
          <w:bdr w:val="none" w:sz="0" w:space="0" w:color="auto"/>
          <w14:textOutline w14:w="0" w14:cap="rnd" w14:cmpd="sng" w14:algn="ctr">
            <w14:noFill/>
            <w14:prstDash w14:val="solid"/>
            <w14:bevel/>
          </w14:textOutline>
        </w:rPr>
        <w:lastRenderedPageBreak/>
        <w:t xml:space="preserve">existing governance landscape is to meet such demands. Accordingly, this paper will examine what adaptive coastal governance is, how it operates in the area, and how well-positioned current governance arrangements are for meeting the present and emerging challenges to coastal resilience and biodiversity conservation. More specifically, the paper asks the question, in examining planning for coastal resilience and migratory shorebird conservation, are current governance arrangements adequate to meet significant threats to the Fraser River Estuary and surrounding communities? </w:t>
      </w:r>
      <w:r w:rsidR="00B74084">
        <w:rPr>
          <w:rFonts w:ascii="Times" w:eastAsia="Times New Roman" w:hAnsi="Times" w:cs="Times New Roman"/>
          <w:color w:val="auto"/>
          <w:sz w:val="22"/>
          <w:szCs w:val="22"/>
          <w:bdr w:val="none" w:sz="0" w:space="0" w:color="auto"/>
          <w14:textOutline w14:w="0" w14:cap="rnd" w14:cmpd="sng" w14:algn="ctr">
            <w14:noFill/>
            <w14:prstDash w14:val="solid"/>
            <w14:bevel/>
          </w14:textOutline>
        </w:rPr>
        <w:t>The</w:t>
      </w:r>
      <w:r w:rsidR="00923C49">
        <w:rPr>
          <w:rFonts w:ascii="Times" w:eastAsia="Times New Roman" w:hAnsi="Times" w:cs="Times New Roman"/>
          <w:color w:val="auto"/>
          <w:sz w:val="22"/>
          <w:szCs w:val="22"/>
          <w:bdr w:val="none" w:sz="0" w:space="0" w:color="auto"/>
          <w14:textOutline w14:w="0" w14:cap="rnd" w14:cmpd="sng" w14:algn="ctr">
            <w14:noFill/>
            <w14:prstDash w14:val="solid"/>
            <w14:bevel/>
          </w14:textOutline>
        </w:rPr>
        <w:t xml:space="preserve"> paper will address the question through the guidance of the following three objectives: </w:t>
      </w:r>
    </w:p>
    <w:p w14:paraId="5EC54CA1" w14:textId="77777777" w:rsidR="00923C49" w:rsidRPr="00923C49" w:rsidRDefault="00923C49" w:rsidP="00923C49">
      <w:pPr>
        <w:pStyle w:val="Body"/>
        <w:numPr>
          <w:ilvl w:val="0"/>
          <w:numId w:val="41"/>
        </w:numPr>
        <w:spacing w:line="480" w:lineRule="auto"/>
        <w:rPr>
          <w:rFonts w:ascii="Times" w:hAnsi="Times"/>
          <w:sz w:val="22"/>
          <w:szCs w:val="22"/>
          <w:lang w:val="en-CA"/>
        </w:rPr>
      </w:pPr>
      <w:r w:rsidRPr="00923C49">
        <w:rPr>
          <w:rFonts w:ascii="Times" w:hAnsi="Times"/>
          <w:sz w:val="22"/>
          <w:szCs w:val="22"/>
          <w:lang w:val="en-CA"/>
        </w:rPr>
        <w:t>Develop an evaluative framework based on adaptive governance theory to test how current governance arrangements of the Fraser River Estuary address coastal resilience of the area and of shorebird conservation.</w:t>
      </w:r>
    </w:p>
    <w:p w14:paraId="52199A86" w14:textId="77777777" w:rsidR="00923C49" w:rsidRPr="00923C49" w:rsidRDefault="00923C49" w:rsidP="00923C49">
      <w:pPr>
        <w:pStyle w:val="Body"/>
        <w:numPr>
          <w:ilvl w:val="0"/>
          <w:numId w:val="41"/>
        </w:numPr>
        <w:spacing w:line="480" w:lineRule="auto"/>
        <w:rPr>
          <w:rFonts w:ascii="Times" w:hAnsi="Times"/>
          <w:sz w:val="22"/>
          <w:szCs w:val="22"/>
        </w:rPr>
      </w:pPr>
      <w:r w:rsidRPr="00923C49">
        <w:rPr>
          <w:rFonts w:ascii="Times" w:hAnsi="Times"/>
          <w:sz w:val="22"/>
          <w:szCs w:val="22"/>
        </w:rPr>
        <w:t xml:space="preserve">Assess how relevant stakeholders involved in shoreline conservation ensure the beneficial use of the Fraser River Estuary by migratory shorebirds. </w:t>
      </w:r>
    </w:p>
    <w:p w14:paraId="3B49DEF2" w14:textId="77777777" w:rsidR="00923C49" w:rsidRPr="00923C49" w:rsidRDefault="00923C49" w:rsidP="00923C49">
      <w:pPr>
        <w:pStyle w:val="ListParagraph"/>
        <w:numPr>
          <w:ilvl w:val="0"/>
          <w:numId w:val="41"/>
        </w:numPr>
        <w:spacing w:line="480" w:lineRule="auto"/>
        <w:rPr>
          <w:rFonts w:ascii="Times" w:hAnsi="Times"/>
          <w:sz w:val="22"/>
          <w:szCs w:val="22"/>
        </w:rPr>
      </w:pPr>
      <w:r w:rsidRPr="00923C49">
        <w:rPr>
          <w:rFonts w:ascii="Times" w:hAnsi="Times"/>
          <w:sz w:val="22"/>
          <w:szCs w:val="22"/>
        </w:rPr>
        <w:t xml:space="preserve">Propose a scope for action to resilience-oriented outcomes in shorebirds and shoreline conservation for the Fraser River Estuary and Delta to address current and future threats to the ecological resilience of the estuary through the evaluative framework. </w:t>
      </w:r>
    </w:p>
    <w:p w14:paraId="2259F9C5" w14:textId="0C2E912F" w:rsidR="0013133A" w:rsidRDefault="0013133A" w:rsidP="000C53BC">
      <w:pPr>
        <w:pStyle w:val="Heading1"/>
        <w:numPr>
          <w:ilvl w:val="0"/>
          <w:numId w:val="36"/>
        </w:numPr>
        <w:spacing w:line="480" w:lineRule="auto"/>
      </w:pPr>
      <w:bookmarkStart w:id="5" w:name="_Toc133020823"/>
      <w:r>
        <w:lastRenderedPageBreak/>
        <w:t>Chapter 2</w:t>
      </w:r>
      <w:r>
        <w:br/>
      </w:r>
      <w:r>
        <w:br/>
      </w:r>
      <w:r w:rsidR="00523EE1">
        <w:t>Literature Review</w:t>
      </w:r>
      <w:bookmarkEnd w:id="5"/>
    </w:p>
    <w:p w14:paraId="460ECA93" w14:textId="77777777" w:rsidR="003B0DC2" w:rsidRDefault="003B0DC2" w:rsidP="000C53BC">
      <w:pPr>
        <w:pStyle w:val="Heading2"/>
        <w:spacing w:line="480" w:lineRule="auto"/>
      </w:pPr>
      <w:bookmarkStart w:id="6" w:name="_Toc133020824"/>
      <w:r>
        <w:t>Shorebirds</w:t>
      </w:r>
      <w:bookmarkEnd w:id="6"/>
      <w:r>
        <w:t xml:space="preserve"> </w:t>
      </w:r>
    </w:p>
    <w:p w14:paraId="407E451D" w14:textId="20CAD670" w:rsidR="003B0DC2" w:rsidRPr="007A1904" w:rsidRDefault="00FD1621" w:rsidP="001F6C9B">
      <w:pPr>
        <w:pStyle w:val="NormalWeb"/>
        <w:spacing w:before="0" w:beforeAutospacing="0" w:after="158" w:afterAutospacing="0" w:line="480" w:lineRule="auto"/>
        <w:ind w:firstLine="576"/>
        <w:rPr>
          <w:color w:val="000000"/>
        </w:rPr>
      </w:pPr>
      <w:r>
        <w:rPr>
          <w:noProof/>
          <w:color w:val="000000" w:themeColor="text1"/>
        </w:rPr>
        <w:drawing>
          <wp:anchor distT="0" distB="0" distL="114300" distR="114300" simplePos="0" relativeHeight="251661312" behindDoc="0" locked="0" layoutInCell="1" allowOverlap="1" wp14:anchorId="05A95DAA" wp14:editId="51C790AC">
            <wp:simplePos x="0" y="0"/>
            <wp:positionH relativeFrom="column">
              <wp:posOffset>522605</wp:posOffset>
            </wp:positionH>
            <wp:positionV relativeFrom="paragraph">
              <wp:posOffset>2159404</wp:posOffset>
            </wp:positionV>
            <wp:extent cx="4572000" cy="3532505"/>
            <wp:effectExtent l="0" t="0" r="0" b="0"/>
            <wp:wrapTopAndBottom/>
            <wp:docPr id="4" name="Picture 4"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ma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572000" cy="353250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458837B2" wp14:editId="1DF39E4E">
                <wp:simplePos x="0" y="0"/>
                <wp:positionH relativeFrom="column">
                  <wp:posOffset>224155</wp:posOffset>
                </wp:positionH>
                <wp:positionV relativeFrom="paragraph">
                  <wp:posOffset>5689658</wp:posOffset>
                </wp:positionV>
                <wp:extent cx="5076825" cy="635"/>
                <wp:effectExtent l="0" t="0" r="3175" b="12065"/>
                <wp:wrapTopAndBottom/>
                <wp:docPr id="845855807" name="Text Box 1"/>
                <wp:cNvGraphicFramePr/>
                <a:graphic xmlns:a="http://schemas.openxmlformats.org/drawingml/2006/main">
                  <a:graphicData uri="http://schemas.microsoft.com/office/word/2010/wordprocessingShape">
                    <wps:wsp>
                      <wps:cNvSpPr txBox="1"/>
                      <wps:spPr>
                        <a:xfrm>
                          <a:off x="0" y="0"/>
                          <a:ext cx="5076825" cy="635"/>
                        </a:xfrm>
                        <a:prstGeom prst="rect">
                          <a:avLst/>
                        </a:prstGeom>
                        <a:solidFill>
                          <a:prstClr val="white"/>
                        </a:solidFill>
                        <a:ln>
                          <a:noFill/>
                        </a:ln>
                      </wps:spPr>
                      <wps:txbx>
                        <w:txbxContent>
                          <w:p w14:paraId="0EEDF22E" w14:textId="2DF4711D" w:rsidR="003B0DC2" w:rsidRPr="007A1904" w:rsidRDefault="003B0DC2" w:rsidP="003B0DC2">
                            <w:pPr>
                              <w:pStyle w:val="Caption"/>
                              <w:rPr>
                                <w:color w:val="000000" w:themeColor="text1"/>
                              </w:rPr>
                            </w:pPr>
                            <w:r>
                              <w:t xml:space="preserve">Figure </w:t>
                            </w:r>
                            <w:r>
                              <w:fldChar w:fldCharType="begin"/>
                            </w:r>
                            <w:r>
                              <w:instrText xml:space="preserve"> SEQ Figure \* ARABIC </w:instrText>
                            </w:r>
                            <w:r>
                              <w:fldChar w:fldCharType="separate"/>
                            </w:r>
                            <w:r w:rsidR="00EB00AF">
                              <w:rPr>
                                <w:noProof/>
                              </w:rPr>
                              <w:t>2</w:t>
                            </w:r>
                            <w:r>
                              <w:fldChar w:fldCharType="end"/>
                            </w:r>
                            <w:r>
                              <w:t xml:space="preserve">: </w:t>
                            </w:r>
                            <w:r w:rsidRPr="00262D59">
                              <w:t xml:space="preserve">Fraser River delta &amp; estuary map. Modified from </w:t>
                            </w:r>
                            <w:proofErr w:type="spellStart"/>
                            <w:r w:rsidRPr="00262D59">
                              <w:t>Balke</w:t>
                            </w:r>
                            <w:proofErr w:type="spellEnd"/>
                            <w:r w:rsidRPr="00262D59">
                              <w:t>, E., 2017, Simon Fraser University.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8837B2" id="_x0000_s1027" type="#_x0000_t202" style="position:absolute;left:0;text-align:left;margin-left:17.65pt;margin-top:448pt;width:399.7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" stroked="f">
                <v:textbox style="mso-fit-shape-to-text:t" inset="0,0,0,0">
                  <w:txbxContent>
                    <w:p w14:paraId="0EEDF22E" w14:textId="2DF4711D" w:rsidR="003B0DC2" w:rsidRPr="007A1904" w:rsidRDefault="003B0DC2" w:rsidP="003B0DC2">
                      <w:pPr>
                        <w:pStyle w:val="Caption"/>
                        <w:rPr>
                          <w:color w:val="000000" w:themeColor="text1"/>
                        </w:rPr>
                      </w:pPr>
                      <w:r>
                        <w:t xml:space="preserve">Figure </w:t>
                      </w:r>
                      <w:r>
                        <w:fldChar w:fldCharType="begin"/>
                      </w:r>
                      <w:r>
                        <w:instrText xml:space="preserve"> SEQ Figure \* ARABIC </w:instrText>
                      </w:r>
                      <w:r>
                        <w:fldChar w:fldCharType="separate"/>
                      </w:r>
                      <w:r w:rsidR="00EB00AF">
                        <w:rPr>
                          <w:noProof/>
                        </w:rPr>
                        <w:t>2</w:t>
                      </w:r>
                      <w:r>
                        <w:fldChar w:fldCharType="end"/>
                      </w:r>
                      <w:r>
                        <w:t xml:space="preserve">: </w:t>
                      </w:r>
                      <w:r w:rsidRPr="00262D59">
                        <w:t xml:space="preserve">Fraser River delta &amp; estuary map. Modified from </w:t>
                      </w:r>
                      <w:proofErr w:type="spellStart"/>
                      <w:r w:rsidRPr="00262D59">
                        <w:t>Balke</w:t>
                      </w:r>
                      <w:proofErr w:type="spellEnd"/>
                      <w:r w:rsidRPr="00262D59">
                        <w:t>, E., 2017, Simon Fraser University.</w:t>
                      </w:r>
                    </w:p>
                  </w:txbxContent>
                </v:textbox>
                <w10:wrap type="topAndBottom"/>
              </v:shape>
            </w:pict>
          </mc:Fallback>
        </mc:AlternateContent>
      </w:r>
      <w:r w:rsidR="001A55CB" w:rsidRPr="001A55CB">
        <w:rPr>
          <w:color w:val="000000"/>
        </w:rPr>
        <w:t>An overwhelming sight upon their arrival on the Fraser River Estuary, migratory shorebirds make the most of their short time in the site, which plays a vital role in their lives. Characterized by their use of shoreline habitat for feeding, shorebirds rely on productive coastal ecosystems for survival (</w:t>
      </w:r>
      <w:proofErr w:type="spellStart"/>
      <w:r w:rsidR="001A55CB" w:rsidRPr="001A55CB">
        <w:rPr>
          <w:color w:val="000000"/>
        </w:rPr>
        <w:t>Canham</w:t>
      </w:r>
      <w:proofErr w:type="spellEnd"/>
      <w:r w:rsidR="001A55CB" w:rsidRPr="001A55CB">
        <w:rPr>
          <w:color w:val="000000"/>
        </w:rPr>
        <w:t xml:space="preserve"> et al., 2015). With millions of birds stopping at the site annually, the Estuary is unparalleled in what it offers to the birds between Alaska and California. Indeed, birds time their arrival with the Estuary’s intertidal biofilm production, a thin film of fatty acids that forms across the water, which they consume to fuel their migration (</w:t>
      </w:r>
      <w:proofErr w:type="spellStart"/>
      <w:r w:rsidR="001A55CB" w:rsidRPr="001A55CB">
        <w:rPr>
          <w:color w:val="000000"/>
        </w:rPr>
        <w:t>Canham</w:t>
      </w:r>
      <w:proofErr w:type="spellEnd"/>
      <w:r w:rsidR="001A55CB" w:rsidRPr="001A55CB">
        <w:rPr>
          <w:color w:val="000000"/>
        </w:rPr>
        <w:t xml:space="preserve"> et al., 2015; Jiménez </w:t>
      </w:r>
      <w:r w:rsidR="001A55CB" w:rsidRPr="001A55CB">
        <w:rPr>
          <w:color w:val="000000"/>
        </w:rPr>
        <w:lastRenderedPageBreak/>
        <w:t xml:space="preserve">et al., 2015). This section will explain, as evidenced in the literature, why the shorebirds need the Fraser River Estuary site and the global consequence of its degradation. </w:t>
      </w:r>
    </w:p>
    <w:p w14:paraId="472E4FF6" w14:textId="77777777" w:rsidR="003B0DC2" w:rsidRDefault="003B0DC2" w:rsidP="000C53BC">
      <w:pPr>
        <w:pStyle w:val="Heading3"/>
        <w:spacing w:line="480" w:lineRule="auto"/>
      </w:pPr>
      <w:bookmarkStart w:id="7" w:name="_Toc133020825"/>
      <w:r w:rsidRPr="005B3A28">
        <w:rPr>
          <w:color w:val="000000"/>
        </w:rPr>
        <w:t>Shorebirds Habitat and Needs: Fraser River Estuary</w:t>
      </w:r>
      <w:bookmarkEnd w:id="7"/>
      <w:r>
        <w:t xml:space="preserve"> </w:t>
      </w:r>
    </w:p>
    <w:p w14:paraId="26F888F7" w14:textId="77777777" w:rsidR="00116CDF" w:rsidRPr="00116CDF" w:rsidRDefault="00116CDF" w:rsidP="00116CDF">
      <w:pPr>
        <w:pStyle w:val="NormalWeb"/>
        <w:spacing w:after="158" w:line="480" w:lineRule="auto"/>
        <w:ind w:firstLine="720"/>
        <w:rPr>
          <w:color w:val="000000" w:themeColor="text1"/>
        </w:rPr>
      </w:pPr>
      <w:r w:rsidRPr="00116CDF">
        <w:rPr>
          <w:color w:val="000000" w:themeColor="text1"/>
        </w:rPr>
        <w:t>Alongside the importance of the Fraser River Estuary to local coastal resilience, there is ample evidence in the literature as to the importance of the site for migratory shorebirds, which in turn play an essential role in the local ecosystem. Defined by their use of wetlands and shorelines for feeding purposes, shorebirds are diverse in size and bill morphology (</w:t>
      </w:r>
      <w:proofErr w:type="spellStart"/>
      <w:r w:rsidRPr="00116CDF">
        <w:rPr>
          <w:color w:val="000000" w:themeColor="text1"/>
        </w:rPr>
        <w:t>Kuwae</w:t>
      </w:r>
      <w:proofErr w:type="spellEnd"/>
      <w:r w:rsidRPr="00116CDF">
        <w:rPr>
          <w:color w:val="000000" w:themeColor="text1"/>
        </w:rPr>
        <w:t xml:space="preserve"> et al., 2021). Their foraging techniques vary according to size, bill morphology, and food availability (</w:t>
      </w:r>
      <w:proofErr w:type="spellStart"/>
      <w:r w:rsidRPr="00116CDF">
        <w:rPr>
          <w:color w:val="000000" w:themeColor="text1"/>
        </w:rPr>
        <w:t>Kuwae</w:t>
      </w:r>
      <w:proofErr w:type="spellEnd"/>
      <w:r w:rsidRPr="00116CDF">
        <w:rPr>
          <w:color w:val="000000" w:themeColor="text1"/>
        </w:rPr>
        <w:t xml:space="preserve"> et al., 2021). Along the Pacific Flyway, migratory shorebirds travel long distances to take advantage of feeding opportunities and give birth to the next generation (Hope et al., 2018). </w:t>
      </w:r>
    </w:p>
    <w:p w14:paraId="27AB2BCC" w14:textId="77777777" w:rsidR="00116CDF" w:rsidRPr="00116CDF" w:rsidRDefault="00116CDF" w:rsidP="00116CDF">
      <w:pPr>
        <w:pStyle w:val="NormalWeb"/>
        <w:spacing w:after="158" w:line="480" w:lineRule="auto"/>
        <w:ind w:firstLine="720"/>
        <w:rPr>
          <w:color w:val="000000" w:themeColor="text1"/>
        </w:rPr>
      </w:pPr>
      <w:r w:rsidRPr="00116CDF">
        <w:rPr>
          <w:color w:val="000000" w:themeColor="text1"/>
        </w:rPr>
        <w:t>A growing body of research is working on documenting the needs of shorebirds to help identify how management efforts can best focus efforts to protect and conserve their numbers (</w:t>
      </w:r>
      <w:proofErr w:type="spellStart"/>
      <w:r w:rsidRPr="00116CDF">
        <w:rPr>
          <w:color w:val="000000" w:themeColor="text1"/>
        </w:rPr>
        <w:t>Kuwae</w:t>
      </w:r>
      <w:proofErr w:type="spellEnd"/>
      <w:r w:rsidRPr="00116CDF">
        <w:rPr>
          <w:color w:val="000000" w:themeColor="text1"/>
        </w:rPr>
        <w:t xml:space="preserve"> et al., 2021; </w:t>
      </w:r>
      <w:proofErr w:type="spellStart"/>
      <w:r w:rsidRPr="00116CDF">
        <w:rPr>
          <w:color w:val="000000" w:themeColor="text1"/>
        </w:rPr>
        <w:t>Canham</w:t>
      </w:r>
      <w:proofErr w:type="spellEnd"/>
      <w:r w:rsidRPr="00116CDF">
        <w:rPr>
          <w:color w:val="000000" w:themeColor="text1"/>
        </w:rPr>
        <w:t xml:space="preserve"> et al., 2021; Jardine et al., 2019). While their consumption of macro- and meiofaunal invertebrate prey has been historically well-documented, more recently, it has been demonstrated that small-bodied shorebirds also graze on a thin-layer biofilm that forms across inter-tidal mudflats (</w:t>
      </w:r>
      <w:proofErr w:type="spellStart"/>
      <w:r w:rsidRPr="00116CDF">
        <w:rPr>
          <w:color w:val="000000" w:themeColor="text1"/>
        </w:rPr>
        <w:t>Kuwae</w:t>
      </w:r>
      <w:proofErr w:type="spellEnd"/>
      <w:r w:rsidRPr="00116CDF">
        <w:rPr>
          <w:color w:val="000000" w:themeColor="text1"/>
        </w:rPr>
        <w:t xml:space="preserve"> et al., 2012). Intertidal mudflats are “open areas of soft sediment that are regularly inundated and exposed by marine tides” (</w:t>
      </w:r>
      <w:proofErr w:type="spellStart"/>
      <w:r w:rsidRPr="00116CDF">
        <w:rPr>
          <w:color w:val="000000" w:themeColor="text1"/>
        </w:rPr>
        <w:t>Kuwae</w:t>
      </w:r>
      <w:proofErr w:type="spellEnd"/>
      <w:r w:rsidRPr="00116CDF">
        <w:rPr>
          <w:color w:val="000000" w:themeColor="text1"/>
        </w:rPr>
        <w:t xml:space="preserve"> et al., 2021). They are among the world’s most productive environments but are decreasing rapidly, with 16 percent of their global areas lost between 1984 and 2016 (</w:t>
      </w:r>
      <w:proofErr w:type="spellStart"/>
      <w:r w:rsidRPr="00116CDF">
        <w:rPr>
          <w:color w:val="000000" w:themeColor="text1"/>
        </w:rPr>
        <w:t>Lotze</w:t>
      </w:r>
      <w:proofErr w:type="spellEnd"/>
      <w:r w:rsidRPr="00116CDF">
        <w:rPr>
          <w:color w:val="000000" w:themeColor="text1"/>
        </w:rPr>
        <w:t xml:space="preserve"> et al., 2006; </w:t>
      </w:r>
      <w:proofErr w:type="spellStart"/>
      <w:r w:rsidRPr="00116CDF">
        <w:rPr>
          <w:color w:val="000000" w:themeColor="text1"/>
        </w:rPr>
        <w:t>Kuwae</w:t>
      </w:r>
      <w:proofErr w:type="spellEnd"/>
      <w:r w:rsidRPr="00116CDF">
        <w:rPr>
          <w:color w:val="000000" w:themeColor="text1"/>
        </w:rPr>
        <w:t xml:space="preserve"> et al., 2021). </w:t>
      </w:r>
    </w:p>
    <w:p w14:paraId="10EC2E8B" w14:textId="40E3EC13" w:rsidR="003B0DC2" w:rsidRPr="005B3A28" w:rsidRDefault="00116CDF" w:rsidP="00116CDF">
      <w:pPr>
        <w:pStyle w:val="NormalWeb"/>
        <w:spacing w:after="158" w:line="480" w:lineRule="auto"/>
        <w:ind w:firstLine="720"/>
        <w:rPr>
          <w:color w:val="000000" w:themeColor="text1"/>
        </w:rPr>
      </w:pPr>
      <w:r w:rsidRPr="00116CDF">
        <w:rPr>
          <w:color w:val="000000" w:themeColor="text1"/>
        </w:rPr>
        <w:t>Located on the southern Pacific coast of Canada (seen in Figure 1), the Fraser River Estuary is one of only a few extensive tidal mudflats on river deltas along the continent’s entire Pacific coastline (</w:t>
      </w:r>
      <w:proofErr w:type="spellStart"/>
      <w:r w:rsidRPr="00116CDF">
        <w:rPr>
          <w:color w:val="000000" w:themeColor="text1"/>
        </w:rPr>
        <w:t>Levings</w:t>
      </w:r>
      <w:proofErr w:type="spellEnd"/>
      <w:r w:rsidRPr="00116CDF">
        <w:rPr>
          <w:color w:val="000000" w:themeColor="text1"/>
        </w:rPr>
        <w:t xml:space="preserve">, 1998). Due to its critical ecological functions, the Fraser River Estuary is designated as an Important Bird and Biodiversity Area. It is also included on the Ramsar List of </w:t>
      </w:r>
      <w:r w:rsidRPr="00116CDF">
        <w:rPr>
          <w:color w:val="000000" w:themeColor="text1"/>
        </w:rPr>
        <w:lastRenderedPageBreak/>
        <w:t xml:space="preserve">Wetlands of International Importance, underscoring its international role in biodiversity conservation (Cu, 2022). The Fraser River Estuary is particularly critical to migratory shorebirds because of the presence of biofilm, a thin mucous layer that forms across the water made of diatoms (Jardine et al., 2015; Jiménez et al., 2015). Indeed, the arrival of migratory shorebirds even coincides with the peak production of the diatoms (Jardine et al., 2015; Hope et al., 2018). </w:t>
      </w:r>
      <w:r w:rsidR="003B0DC2" w:rsidRPr="005B3A28">
        <w:rPr>
          <w:color w:val="000000" w:themeColor="text1"/>
        </w:rPr>
        <w:t xml:space="preserve"> </w:t>
      </w:r>
    </w:p>
    <w:p w14:paraId="4FC24610" w14:textId="44133E73" w:rsidR="003B0DC2" w:rsidRDefault="003B0DC2" w:rsidP="000C53BC">
      <w:pPr>
        <w:pStyle w:val="Heading3"/>
        <w:spacing w:line="480" w:lineRule="auto"/>
      </w:pPr>
      <w:bookmarkStart w:id="8" w:name="_Toc133020826"/>
      <w:r w:rsidRPr="005B3A28">
        <w:rPr>
          <w:color w:val="000000"/>
        </w:rPr>
        <w:t>S</w:t>
      </w:r>
      <w:r>
        <w:rPr>
          <w:color w:val="000000"/>
        </w:rPr>
        <w:t>tate of Shorebirds: The Local is the Global</w:t>
      </w:r>
      <w:bookmarkEnd w:id="8"/>
      <w:r>
        <w:t xml:space="preserve"> </w:t>
      </w:r>
    </w:p>
    <w:p w14:paraId="5CC50534" w14:textId="77777777" w:rsidR="00116CDF" w:rsidRPr="00116CDF" w:rsidRDefault="00116CDF" w:rsidP="00116CDF">
      <w:pPr>
        <w:pStyle w:val="NormalWeb"/>
        <w:spacing w:after="158" w:line="480" w:lineRule="auto"/>
        <w:ind w:firstLine="576"/>
        <w:rPr>
          <w:color w:val="000000" w:themeColor="text1"/>
        </w:rPr>
      </w:pPr>
      <w:r w:rsidRPr="00116CDF">
        <w:rPr>
          <w:color w:val="000000" w:themeColor="text1"/>
        </w:rPr>
        <w:t>Shorebirds are an essential part of ecosystems across the globe, with their presence at stopover sites, however brief, lending them a global role in ecosystems (</w:t>
      </w:r>
      <w:proofErr w:type="spellStart"/>
      <w:r w:rsidRPr="00116CDF">
        <w:rPr>
          <w:color w:val="000000" w:themeColor="text1"/>
        </w:rPr>
        <w:t>Canham</w:t>
      </w:r>
      <w:proofErr w:type="spellEnd"/>
      <w:r w:rsidRPr="00116CDF">
        <w:rPr>
          <w:color w:val="000000" w:themeColor="text1"/>
        </w:rPr>
        <w:t xml:space="preserve"> et al., 2021). However, while most avian species have declined in numbers in recent years, shorebirds have declined by half, reinforcing the critical need for their conservation with ample evidence in the literature (Amano, 2018; Rosenberg et al., 2019). The loss and alteration of essential stopover points have been key drivers of the decline in their numbers (Clemens et al., 2016; Amano, 2018; Rosenberg et al., 2019). Canada is no exception to this trend, with the loss of habitat for migratory shorebirds carrying global consequences due to their role in many ecosystems thousands of kilometres apart (Galbraith et al., 2014; Rosenberg et al., 2019). Unlike the conservation of other groups of birds, like songbirds, migratory shorebirds stop at specific sites (</w:t>
      </w:r>
      <w:proofErr w:type="spellStart"/>
      <w:r w:rsidRPr="00116CDF">
        <w:rPr>
          <w:color w:val="000000" w:themeColor="text1"/>
        </w:rPr>
        <w:t>Canham</w:t>
      </w:r>
      <w:proofErr w:type="spellEnd"/>
      <w:r w:rsidRPr="00116CDF">
        <w:rPr>
          <w:color w:val="000000" w:themeColor="text1"/>
        </w:rPr>
        <w:t xml:space="preserve"> et al., 2021; Galbraith et al., 2014).</w:t>
      </w:r>
    </w:p>
    <w:p w14:paraId="0D657CB4" w14:textId="77777777" w:rsidR="00116CDF" w:rsidRPr="00116CDF" w:rsidRDefault="00116CDF" w:rsidP="00116CDF">
      <w:pPr>
        <w:pStyle w:val="NormalWeb"/>
        <w:spacing w:after="158" w:line="480" w:lineRule="auto"/>
        <w:ind w:firstLine="576"/>
        <w:rPr>
          <w:color w:val="000000" w:themeColor="text1"/>
        </w:rPr>
      </w:pPr>
      <w:r w:rsidRPr="00116CDF">
        <w:rPr>
          <w:color w:val="000000" w:themeColor="text1"/>
        </w:rPr>
        <w:t>Consequently, it is easier to pick the crucial sites to conserve and protect, but it also heightens the importance of their conservation (Galbraith et al., 2014). The cost of failure is high because such large percentages of shorebird species rely on a single site, increasing their vulnerability to change. Given how unique the Fraser River Estuary is along the Pacific coast of North America, shorebirds have few other options to access the nutrients they require along their migration routes to reach their breeding grounds (</w:t>
      </w:r>
      <w:proofErr w:type="spellStart"/>
      <w:r w:rsidRPr="00116CDF">
        <w:rPr>
          <w:color w:val="000000" w:themeColor="text1"/>
        </w:rPr>
        <w:t>Canham</w:t>
      </w:r>
      <w:proofErr w:type="spellEnd"/>
      <w:r w:rsidRPr="00116CDF">
        <w:rPr>
          <w:color w:val="000000" w:themeColor="text1"/>
        </w:rPr>
        <w:t xml:space="preserve"> et al., 2021). As a result of their site selectivity, their ability to adapt to changing conditions, like habitat loss and degradation in the Fraser </w:t>
      </w:r>
      <w:r w:rsidRPr="00116CDF">
        <w:rPr>
          <w:color w:val="000000" w:themeColor="text1"/>
        </w:rPr>
        <w:lastRenderedPageBreak/>
        <w:t xml:space="preserve">River Estuary, is highly limited and puts them at greater risk of extinction, should the estuary continue to degrade. </w:t>
      </w:r>
    </w:p>
    <w:p w14:paraId="1140EF9E" w14:textId="77777777" w:rsidR="00116CDF" w:rsidRDefault="00116CDF" w:rsidP="00116CDF">
      <w:pPr>
        <w:pStyle w:val="NormalWeb"/>
        <w:spacing w:before="0" w:beforeAutospacing="0" w:after="158" w:afterAutospacing="0" w:line="480" w:lineRule="auto"/>
        <w:ind w:firstLine="576"/>
        <w:rPr>
          <w:color w:val="000000" w:themeColor="text1"/>
        </w:rPr>
      </w:pPr>
      <w:r w:rsidRPr="00116CDF">
        <w:rPr>
          <w:color w:val="000000" w:themeColor="text1"/>
        </w:rPr>
        <w:t>Successful conservation requires committed action over the long-term and international cooperation (</w:t>
      </w:r>
      <w:proofErr w:type="spellStart"/>
      <w:r w:rsidRPr="00116CDF">
        <w:rPr>
          <w:color w:val="000000" w:themeColor="text1"/>
        </w:rPr>
        <w:t>Canham</w:t>
      </w:r>
      <w:proofErr w:type="spellEnd"/>
      <w:r w:rsidRPr="00116CDF">
        <w:rPr>
          <w:color w:val="000000" w:themeColor="text1"/>
        </w:rPr>
        <w:t xml:space="preserve"> et al., 2021). Specific to shorebirds, the Western Hemisphere Shorebird Reserve Network (WHSRN) plays a vital role in coordinating domestic and international conservation efforts (WHSRN, n.d.). The network recognizes the Fraser River Estuary as a site of key importance for protecting several species of shorebirds, with up to 5 million birds using the Estuary annually (WHSRN, 2019). A recent study found that the entire Fraser River Estuary needs critical investment, with 102 species at risk of local extinction and less than 30 percent of the original estuary considered “intact habitat” (Kehoe et al., 2021; Boundary Bay Conservation Committee, 2016). </w:t>
      </w:r>
    </w:p>
    <w:p w14:paraId="7C93B691" w14:textId="77777777" w:rsidR="003B0DC2" w:rsidRDefault="003B0DC2" w:rsidP="000C53BC">
      <w:pPr>
        <w:pStyle w:val="Heading2"/>
        <w:spacing w:line="480" w:lineRule="auto"/>
      </w:pPr>
      <w:bookmarkStart w:id="9" w:name="_Toc133020827"/>
      <w:r>
        <w:t>Coastal Resilience in the Fraser River Delta</w:t>
      </w:r>
      <w:bookmarkEnd w:id="9"/>
    </w:p>
    <w:p w14:paraId="49CFCF70" w14:textId="5D703D0F" w:rsidR="003B0DC2" w:rsidRPr="005B3A28" w:rsidRDefault="00116CDF" w:rsidP="001F6C9B">
      <w:pPr>
        <w:pStyle w:val="NormalWeb"/>
        <w:spacing w:before="0" w:beforeAutospacing="0" w:after="158" w:afterAutospacing="0" w:line="480" w:lineRule="auto"/>
        <w:ind w:firstLine="576"/>
        <w:rPr>
          <w:b/>
          <w:bCs/>
          <w:color w:val="000000" w:themeColor="text1"/>
        </w:rPr>
      </w:pPr>
      <w:r w:rsidRPr="00116CDF">
        <w:rPr>
          <w:color w:val="000000" w:themeColor="text1"/>
        </w:rPr>
        <w:t>At a high level, resilience is generally understood as the ability of a system to absorb environmental change without change to internal dynamics (</w:t>
      </w:r>
      <w:proofErr w:type="spellStart"/>
      <w:r w:rsidRPr="00116CDF">
        <w:rPr>
          <w:color w:val="000000" w:themeColor="text1"/>
        </w:rPr>
        <w:t>Masselink</w:t>
      </w:r>
      <w:proofErr w:type="spellEnd"/>
      <w:r w:rsidRPr="00116CDF">
        <w:rPr>
          <w:color w:val="000000" w:themeColor="text1"/>
        </w:rPr>
        <w:t xml:space="preserve"> and Lazarus, 2019). Realistically, humans have such an impact on coastal systems, particularly those with intense urban settlements, that a growing body of knowledge is assessing them as </w:t>
      </w:r>
      <w:proofErr w:type="spellStart"/>
      <w:r w:rsidRPr="00116CDF">
        <w:rPr>
          <w:color w:val="000000" w:themeColor="text1"/>
        </w:rPr>
        <w:t>anthromes</w:t>
      </w:r>
      <w:proofErr w:type="spellEnd"/>
      <w:r w:rsidRPr="00116CDF">
        <w:rPr>
          <w:color w:val="000000" w:themeColor="text1"/>
        </w:rPr>
        <w:t xml:space="preserve"> rather than biomes, given the extent of the impact of human use of coastal and marine environments (Lazarus 2014; Halpern et al., 2015; </w:t>
      </w:r>
      <w:proofErr w:type="spellStart"/>
      <w:r w:rsidRPr="00116CDF">
        <w:rPr>
          <w:color w:val="000000" w:themeColor="text1"/>
        </w:rPr>
        <w:t>Masselink</w:t>
      </w:r>
      <w:proofErr w:type="spellEnd"/>
      <w:r w:rsidRPr="00116CDF">
        <w:rPr>
          <w:color w:val="000000" w:themeColor="text1"/>
        </w:rPr>
        <w:t xml:space="preserve"> et Lazarus, 2019). In the case of the Fraser River Estuary, the concept of broader coastal resilience is growing in popularity in the literature because of the current and future threats to the region</w:t>
      </w:r>
      <w:r w:rsidR="003B0DC2">
        <w:rPr>
          <w:color w:val="000000" w:themeColor="text1"/>
        </w:rPr>
        <w:t>.</w:t>
      </w:r>
      <w:r w:rsidR="003B0DC2" w:rsidRPr="005B3A28">
        <w:rPr>
          <w:color w:val="000000" w:themeColor="text1"/>
        </w:rPr>
        <w:t xml:space="preserve"> </w:t>
      </w:r>
    </w:p>
    <w:p w14:paraId="4455D1C8" w14:textId="77777777" w:rsidR="003B0DC2" w:rsidRDefault="003B0DC2" w:rsidP="000C53BC">
      <w:pPr>
        <w:pStyle w:val="Heading3"/>
        <w:spacing w:line="480" w:lineRule="auto"/>
      </w:pPr>
      <w:bookmarkStart w:id="10" w:name="_Toc133020828"/>
      <w:r>
        <w:t>State of the Coast in the Lower Mainland</w:t>
      </w:r>
      <w:bookmarkEnd w:id="10"/>
      <w:r>
        <w:t xml:space="preserve"> </w:t>
      </w:r>
    </w:p>
    <w:p w14:paraId="2C8FCB2A" w14:textId="77777777" w:rsidR="0088117E" w:rsidRPr="0088117E" w:rsidRDefault="0088117E" w:rsidP="0088117E">
      <w:pPr>
        <w:pStyle w:val="NormalWeb"/>
        <w:spacing w:after="158" w:line="480" w:lineRule="auto"/>
        <w:ind w:firstLine="720"/>
        <w:rPr>
          <w:color w:val="000000" w:themeColor="text1"/>
        </w:rPr>
      </w:pPr>
      <w:r w:rsidRPr="0088117E">
        <w:rPr>
          <w:color w:val="000000" w:themeColor="text1"/>
        </w:rPr>
        <w:t xml:space="preserve">On a global scale, the oceans are a site of significant change, under pressure from several sources. Significant academic literature has been dedicated to making sense of the future of </w:t>
      </w:r>
      <w:r w:rsidRPr="0088117E">
        <w:rPr>
          <w:color w:val="000000" w:themeColor="text1"/>
        </w:rPr>
        <w:lastRenderedPageBreak/>
        <w:t>oceans and coastal areas. However, a fair degree of uncertainty remains about the extent to which these environments will change (Halpern et al., 2015). For instance, while changes in storminess (frequency and intensity of storms) have potentially negative consequences, uncertainty remains high due to insufficient historical observational data, inconsistencies among research studies, and differences in the projections from global and regional climate models (Hartmann et al., 2013). Meanwhile, coastal zones are among the most intensively used regions, with three-quarters of all major cities in deltas and coastal areas (United Nations, 2018). By 2030, over 5 billion people are projected to be living in urban areas. Given that 40% of the world’s population lives within 100 kilometres of coastlines, the pressure on coastal areas will only increase (</w:t>
      </w:r>
      <w:proofErr w:type="spellStart"/>
      <w:r w:rsidRPr="0088117E">
        <w:rPr>
          <w:color w:val="000000" w:themeColor="text1"/>
        </w:rPr>
        <w:t>Seto</w:t>
      </w:r>
      <w:proofErr w:type="spellEnd"/>
      <w:r w:rsidRPr="0088117E">
        <w:rPr>
          <w:color w:val="000000" w:themeColor="text1"/>
        </w:rPr>
        <w:t xml:space="preserve"> et al., 2012). </w:t>
      </w:r>
    </w:p>
    <w:p w14:paraId="2371C5C1" w14:textId="77777777" w:rsidR="0088117E" w:rsidRPr="0088117E" w:rsidRDefault="0088117E" w:rsidP="0088117E">
      <w:pPr>
        <w:pStyle w:val="NormalWeb"/>
        <w:spacing w:after="158" w:line="480" w:lineRule="auto"/>
        <w:ind w:firstLine="720"/>
        <w:rPr>
          <w:color w:val="000000" w:themeColor="text1"/>
        </w:rPr>
      </w:pPr>
      <w:r w:rsidRPr="0088117E">
        <w:rPr>
          <w:color w:val="000000" w:themeColor="text1"/>
        </w:rPr>
        <w:t>In the Canadian Pacific region, there are significant trends toward ocean warming, increasing sea salinity, and rising sea levels (</w:t>
      </w:r>
      <w:proofErr w:type="spellStart"/>
      <w:r w:rsidRPr="0088117E">
        <w:rPr>
          <w:color w:val="000000" w:themeColor="text1"/>
        </w:rPr>
        <w:t>Greenan</w:t>
      </w:r>
      <w:proofErr w:type="spellEnd"/>
      <w:r w:rsidRPr="0088117E">
        <w:rPr>
          <w:color w:val="000000" w:themeColor="text1"/>
        </w:rPr>
        <w:t xml:space="preserve"> et al., 2018). Regionally, there is also a distinct increase in marine storms and wave heights are decreasing in the summer and increasing in the winter (</w:t>
      </w:r>
      <w:proofErr w:type="spellStart"/>
      <w:r w:rsidRPr="0088117E">
        <w:rPr>
          <w:color w:val="000000" w:themeColor="text1"/>
        </w:rPr>
        <w:t>Greenan</w:t>
      </w:r>
      <w:proofErr w:type="spellEnd"/>
      <w:r w:rsidRPr="0088117E">
        <w:rPr>
          <w:color w:val="000000" w:themeColor="text1"/>
        </w:rPr>
        <w:t xml:space="preserve"> et al., 2018; </w:t>
      </w:r>
      <w:proofErr w:type="spellStart"/>
      <w:r w:rsidRPr="0088117E">
        <w:rPr>
          <w:color w:val="000000" w:themeColor="text1"/>
        </w:rPr>
        <w:t>Masselink</w:t>
      </w:r>
      <w:proofErr w:type="spellEnd"/>
      <w:r w:rsidRPr="0088117E">
        <w:rPr>
          <w:color w:val="000000" w:themeColor="text1"/>
        </w:rPr>
        <w:t xml:space="preserve"> et Lazarus, 2019). </w:t>
      </w:r>
    </w:p>
    <w:p w14:paraId="767A55F7" w14:textId="77777777" w:rsidR="0088117E" w:rsidRDefault="0088117E" w:rsidP="0088117E">
      <w:pPr>
        <w:pStyle w:val="NormalWeb"/>
        <w:spacing w:after="158" w:line="480" w:lineRule="auto"/>
        <w:ind w:firstLine="720"/>
        <w:rPr>
          <w:color w:val="000000" w:themeColor="text1"/>
        </w:rPr>
      </w:pPr>
      <w:r w:rsidRPr="0088117E">
        <w:rPr>
          <w:color w:val="000000" w:themeColor="text1"/>
        </w:rPr>
        <w:t>Specific to the Lower Mainland region and the Fraser River Estuary (as seen in Figure 2, geomorphological conditions, in combination with sea level rise and other consequences of climate change, have made the Fraser River Delta particularly vulnerable to flooding. In addition, the whole Lower Mainland is prone to an earthquake, which would likely result in the flooding and liquefaction of the Fraser River Delta (</w:t>
      </w:r>
      <w:proofErr w:type="spellStart"/>
      <w:r w:rsidRPr="0088117E">
        <w:rPr>
          <w:color w:val="000000" w:themeColor="text1"/>
        </w:rPr>
        <w:t>Lokman</w:t>
      </w:r>
      <w:proofErr w:type="spellEnd"/>
      <w:r w:rsidRPr="0088117E">
        <w:rPr>
          <w:color w:val="000000" w:themeColor="text1"/>
        </w:rPr>
        <w:t>, 2019). In 2016, a study conducted found that across the province, including along the Fraser River, dikes “generally do not meet current provincial standards and none fully meet or exceed the standards,” articulating the necessity for action on the part of authorities (FBC, 2016:4). Once intertidal habitat, particularly salt marshes, is lost or degraded, it becomes challenging and costly, if not impossible to restore it to its former state (</w:t>
      </w:r>
      <w:proofErr w:type="spellStart"/>
      <w:r w:rsidRPr="0088117E">
        <w:rPr>
          <w:color w:val="000000" w:themeColor="text1"/>
        </w:rPr>
        <w:t>Balke</w:t>
      </w:r>
      <w:proofErr w:type="spellEnd"/>
      <w:r w:rsidRPr="0088117E">
        <w:rPr>
          <w:color w:val="000000" w:themeColor="text1"/>
        </w:rPr>
        <w:t xml:space="preserve">, 2017). </w:t>
      </w:r>
    </w:p>
    <w:p w14:paraId="68093519" w14:textId="77777777" w:rsidR="003B0DC2" w:rsidRDefault="003B0DC2" w:rsidP="000C53BC">
      <w:pPr>
        <w:pStyle w:val="Heading3"/>
        <w:spacing w:line="480" w:lineRule="auto"/>
      </w:pPr>
      <w:bookmarkStart w:id="11" w:name="_Toc133020829"/>
      <w:r>
        <w:lastRenderedPageBreak/>
        <w:t>Defining Coastal Resilience</w:t>
      </w:r>
      <w:bookmarkEnd w:id="11"/>
      <w:r>
        <w:t xml:space="preserve"> </w:t>
      </w:r>
    </w:p>
    <w:p w14:paraId="2FE02F25" w14:textId="77777777" w:rsidR="006A5733" w:rsidRPr="006A5733" w:rsidRDefault="006A5733" w:rsidP="006A5733">
      <w:pPr>
        <w:pStyle w:val="NormalWeb"/>
        <w:spacing w:after="158" w:line="480" w:lineRule="auto"/>
        <w:ind w:firstLine="720"/>
        <w:rPr>
          <w:color w:val="000000" w:themeColor="text1"/>
          <w:szCs w:val="22"/>
          <w:lang w:val="en-US" w:eastAsia="en-US"/>
        </w:rPr>
      </w:pPr>
      <w:r w:rsidRPr="006A5733">
        <w:rPr>
          <w:color w:val="000000" w:themeColor="text1"/>
          <w:szCs w:val="22"/>
          <w:lang w:val="en-US" w:eastAsia="en-US"/>
        </w:rPr>
        <w:t xml:space="preserve">In recent years, resilience has been a prominent feature of discussions on climate change adaptation (Joakim et al., 2015; </w:t>
      </w:r>
      <w:proofErr w:type="spellStart"/>
      <w:r w:rsidRPr="006A5733">
        <w:rPr>
          <w:color w:val="000000" w:themeColor="text1"/>
          <w:szCs w:val="22"/>
          <w:lang w:val="en-US" w:eastAsia="en-US"/>
        </w:rPr>
        <w:t>Torabi</w:t>
      </w:r>
      <w:proofErr w:type="spellEnd"/>
      <w:r w:rsidRPr="006A5733">
        <w:rPr>
          <w:color w:val="000000" w:themeColor="text1"/>
          <w:szCs w:val="22"/>
          <w:lang w:val="en-US" w:eastAsia="en-US"/>
        </w:rPr>
        <w:t xml:space="preserve"> et al., 2017; Chausson et al., 2020). This topic has taken particular importance in coastal regions as many regions experience or watch their counterparts experience some of the most extreme storms in their recent history (</w:t>
      </w:r>
      <w:proofErr w:type="spellStart"/>
      <w:r w:rsidRPr="006A5733">
        <w:rPr>
          <w:color w:val="000000" w:themeColor="text1"/>
          <w:szCs w:val="22"/>
          <w:lang w:val="en-US" w:eastAsia="en-US"/>
        </w:rPr>
        <w:t>Torabi</w:t>
      </w:r>
      <w:proofErr w:type="spellEnd"/>
      <w:r w:rsidRPr="006A5733">
        <w:rPr>
          <w:color w:val="000000" w:themeColor="text1"/>
          <w:szCs w:val="22"/>
          <w:lang w:val="en-US" w:eastAsia="en-US"/>
        </w:rPr>
        <w:t xml:space="preserve"> et al., 2017). In the face of increasing challenges, many regions have singled it out as an ideal to strive towards as they plan for an increasingly variable future (</w:t>
      </w:r>
      <w:proofErr w:type="spellStart"/>
      <w:r w:rsidRPr="006A5733">
        <w:rPr>
          <w:color w:val="000000" w:themeColor="text1"/>
          <w:szCs w:val="22"/>
          <w:lang w:val="en-US" w:eastAsia="en-US"/>
        </w:rPr>
        <w:t>Torabi</w:t>
      </w:r>
      <w:proofErr w:type="spellEnd"/>
      <w:r w:rsidRPr="006A5733">
        <w:rPr>
          <w:color w:val="000000" w:themeColor="text1"/>
          <w:szCs w:val="22"/>
          <w:lang w:val="en-US" w:eastAsia="en-US"/>
        </w:rPr>
        <w:t xml:space="preserve"> et al., 2018). </w:t>
      </w:r>
    </w:p>
    <w:p w14:paraId="467D6E64" w14:textId="2AB12FB1" w:rsidR="006A5733" w:rsidRPr="006A5733" w:rsidRDefault="006A5733" w:rsidP="006A5733">
      <w:pPr>
        <w:pStyle w:val="NormalWeb"/>
        <w:spacing w:after="158" w:line="480" w:lineRule="auto"/>
        <w:ind w:firstLine="504"/>
        <w:rPr>
          <w:color w:val="000000" w:themeColor="text1"/>
          <w:szCs w:val="22"/>
          <w:lang w:val="en-US" w:eastAsia="en-US"/>
        </w:rPr>
      </w:pPr>
      <w:r>
        <w:rPr>
          <w:noProof/>
        </w:rPr>
        <mc:AlternateContent>
          <mc:Choice Requires="wps">
            <w:drawing>
              <wp:anchor distT="0" distB="0" distL="114300" distR="114300" simplePos="0" relativeHeight="251660288" behindDoc="0" locked="0" layoutInCell="1" allowOverlap="1" wp14:anchorId="7F794228" wp14:editId="24E9CD3B">
                <wp:simplePos x="0" y="0"/>
                <wp:positionH relativeFrom="column">
                  <wp:posOffset>-432435</wp:posOffset>
                </wp:positionH>
                <wp:positionV relativeFrom="paragraph">
                  <wp:posOffset>3837305</wp:posOffset>
                </wp:positionV>
                <wp:extent cx="5470525" cy="635"/>
                <wp:effectExtent l="0" t="0" r="3175" b="0"/>
                <wp:wrapTopAndBottom/>
                <wp:docPr id="3" name="Text Box 3"/>
                <wp:cNvGraphicFramePr/>
                <a:graphic xmlns:a="http://schemas.openxmlformats.org/drawingml/2006/main">
                  <a:graphicData uri="http://schemas.microsoft.com/office/word/2010/wordprocessingShape">
                    <wps:wsp>
                      <wps:cNvSpPr txBox="1"/>
                      <wps:spPr>
                        <a:xfrm>
                          <a:off x="0" y="0"/>
                          <a:ext cx="5470525" cy="635"/>
                        </a:xfrm>
                        <a:prstGeom prst="rect">
                          <a:avLst/>
                        </a:prstGeom>
                        <a:solidFill>
                          <a:prstClr val="white"/>
                        </a:solidFill>
                        <a:ln>
                          <a:noFill/>
                        </a:ln>
                      </wps:spPr>
                      <wps:txbx>
                        <w:txbxContent>
                          <w:p w14:paraId="4B95A4BD" w14:textId="18945CF0" w:rsidR="003B0DC2" w:rsidRPr="00752866" w:rsidRDefault="003B0DC2" w:rsidP="003B0DC2">
                            <w:pPr>
                              <w:pStyle w:val="Caption"/>
                              <w:rPr>
                                <w:noProof/>
                                <w:color w:val="000000" w:themeColor="text1"/>
                                <w:sz w:val="22"/>
                                <w:szCs w:val="22"/>
                              </w:rPr>
                            </w:pPr>
                            <w:r>
                              <w:t xml:space="preserve">Figure </w:t>
                            </w:r>
                            <w:r>
                              <w:fldChar w:fldCharType="begin"/>
                            </w:r>
                            <w:r>
                              <w:instrText xml:space="preserve"> SEQ Figure \* ARABIC </w:instrText>
                            </w:r>
                            <w:r>
                              <w:fldChar w:fldCharType="separate"/>
                            </w:r>
                            <w:r w:rsidR="00EB00AF">
                              <w:rPr>
                                <w:noProof/>
                              </w:rPr>
                              <w:t>3</w:t>
                            </w:r>
                            <w:r>
                              <w:fldChar w:fldCharType="end"/>
                            </w:r>
                            <w:r>
                              <w:t>: Comparison of Engineered and Ecological Resilience. Source: Cong Tri et al., 2017.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794228" id="Text Box 3" o:spid="_x0000_s1028" type="#_x0000_t202" style="position:absolute;left:0;text-align:left;margin-left:-34.05pt;margin-top:302.15pt;width:430.7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" stroked="f">
                <v:textbox style="mso-fit-shape-to-text:t" inset="0,0,0,0">
                  <w:txbxContent>
                    <w:p w14:paraId="4B95A4BD" w14:textId="18945CF0" w:rsidR="003B0DC2" w:rsidRPr="00752866" w:rsidRDefault="003B0DC2" w:rsidP="003B0DC2">
                      <w:pPr>
                        <w:pStyle w:val="Caption"/>
                        <w:rPr>
                          <w:noProof/>
                          <w:color w:val="000000" w:themeColor="text1"/>
                          <w:sz w:val="22"/>
                          <w:szCs w:val="22"/>
                        </w:rPr>
                      </w:pPr>
                      <w:r>
                        <w:t xml:space="preserve">Figure </w:t>
                      </w:r>
                      <w:r>
                        <w:fldChar w:fldCharType="begin"/>
                      </w:r>
                      <w:r>
                        <w:instrText xml:space="preserve"> SEQ Figure \* ARABIC </w:instrText>
                      </w:r>
                      <w:r>
                        <w:fldChar w:fldCharType="separate"/>
                      </w:r>
                      <w:r w:rsidR="00EB00AF">
                        <w:rPr>
                          <w:noProof/>
                        </w:rPr>
                        <w:t>3</w:t>
                      </w:r>
                      <w:r>
                        <w:fldChar w:fldCharType="end"/>
                      </w:r>
                      <w:r>
                        <w:t>: Comparison of Engineered and Ecological Resilience. Source: Cong Tri et al., 2017.</w:t>
                      </w:r>
                    </w:p>
                  </w:txbxContent>
                </v:textbox>
                <w10:wrap type="topAndBottom"/>
              </v:shape>
            </w:pict>
          </mc:Fallback>
        </mc:AlternateContent>
      </w:r>
      <w:r>
        <w:rPr>
          <w:noProof/>
          <w:color w:val="000000" w:themeColor="text1"/>
        </w:rPr>
        <w:drawing>
          <wp:anchor distT="0" distB="0" distL="114300" distR="114300" simplePos="0" relativeHeight="251659264" behindDoc="0" locked="0" layoutInCell="1" allowOverlap="1" wp14:anchorId="1DB4CA68" wp14:editId="6EEDA1E6">
            <wp:simplePos x="0" y="0"/>
            <wp:positionH relativeFrom="column">
              <wp:posOffset>66675</wp:posOffset>
            </wp:positionH>
            <wp:positionV relativeFrom="paragraph">
              <wp:posOffset>1861185</wp:posOffset>
            </wp:positionV>
            <wp:extent cx="5022215" cy="1977390"/>
            <wp:effectExtent l="0" t="0" r="0" b="3810"/>
            <wp:wrapTopAndBottom/>
            <wp:docPr id="2" name="Picture 2" descr="A picture containing sketch, white, diagram, line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ketch, white, diagram, line 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22215" cy="1977390"/>
                    </a:xfrm>
                    <a:prstGeom prst="rect">
                      <a:avLst/>
                    </a:prstGeom>
                  </pic:spPr>
                </pic:pic>
              </a:graphicData>
            </a:graphic>
            <wp14:sizeRelH relativeFrom="page">
              <wp14:pctWidth>0</wp14:pctWidth>
            </wp14:sizeRelH>
            <wp14:sizeRelV relativeFrom="page">
              <wp14:pctHeight>0</wp14:pctHeight>
            </wp14:sizeRelV>
          </wp:anchor>
        </w:drawing>
      </w:r>
      <w:r w:rsidRPr="006A5733">
        <w:rPr>
          <w:color w:val="000000" w:themeColor="text1"/>
          <w:szCs w:val="22"/>
          <w:lang w:val="en-US" w:eastAsia="en-US"/>
        </w:rPr>
        <w:t>In the literature, coastal resilience is generally divided into two forms: engineered resilience and ecological resilience (</w:t>
      </w:r>
      <w:proofErr w:type="spellStart"/>
      <w:r w:rsidRPr="006A5733">
        <w:rPr>
          <w:color w:val="000000" w:themeColor="text1"/>
          <w:szCs w:val="22"/>
          <w:lang w:val="en-US" w:eastAsia="en-US"/>
        </w:rPr>
        <w:t>Masselink</w:t>
      </w:r>
      <w:proofErr w:type="spellEnd"/>
      <w:r w:rsidRPr="006A5733">
        <w:rPr>
          <w:color w:val="000000" w:themeColor="text1"/>
          <w:szCs w:val="22"/>
          <w:lang w:val="en-US" w:eastAsia="en-US"/>
        </w:rPr>
        <w:t xml:space="preserve"> and Lazarus, 2019; </w:t>
      </w:r>
      <w:proofErr w:type="spellStart"/>
      <w:r w:rsidRPr="006A5733">
        <w:rPr>
          <w:color w:val="000000" w:themeColor="text1"/>
          <w:szCs w:val="22"/>
          <w:lang w:val="en-US" w:eastAsia="en-US"/>
        </w:rPr>
        <w:t>Holling</w:t>
      </w:r>
      <w:proofErr w:type="spellEnd"/>
      <w:r w:rsidRPr="006A5733">
        <w:rPr>
          <w:color w:val="000000" w:themeColor="text1"/>
          <w:szCs w:val="22"/>
          <w:lang w:val="en-US" w:eastAsia="en-US"/>
        </w:rPr>
        <w:t>, 1996). Engineered resilience focuses on the ability of a system to maintain a steady state. In contrast, ecological resilience acknowledges that different equilibria are possible and focuses on how much change a system can undergo before “a fundamental change in controls and structural organization” (</w:t>
      </w:r>
      <w:proofErr w:type="spellStart"/>
      <w:r w:rsidRPr="006A5733">
        <w:rPr>
          <w:color w:val="000000" w:themeColor="text1"/>
          <w:szCs w:val="22"/>
          <w:lang w:val="en-US" w:eastAsia="en-US"/>
        </w:rPr>
        <w:t>Masselink</w:t>
      </w:r>
      <w:proofErr w:type="spellEnd"/>
      <w:r w:rsidRPr="006A5733">
        <w:rPr>
          <w:color w:val="000000" w:themeColor="text1"/>
          <w:szCs w:val="22"/>
          <w:lang w:val="en-US" w:eastAsia="en-US"/>
        </w:rPr>
        <w:t xml:space="preserve"> and Lazarus, 2019). </w:t>
      </w:r>
    </w:p>
    <w:p w14:paraId="0EC80AB6" w14:textId="764AAD12" w:rsidR="003B0DC2" w:rsidRDefault="006A5733" w:rsidP="006A5733">
      <w:pPr>
        <w:spacing w:line="480" w:lineRule="auto"/>
        <w:rPr>
          <w:color w:val="000000" w:themeColor="text1"/>
        </w:rPr>
      </w:pPr>
      <w:proofErr w:type="gramStart"/>
      <w:r w:rsidRPr="006A5733">
        <w:rPr>
          <w:color w:val="000000" w:themeColor="text1"/>
        </w:rPr>
        <w:t>For the purpose of</w:t>
      </w:r>
      <w:proofErr w:type="gramEnd"/>
      <w:r w:rsidRPr="006A5733">
        <w:rPr>
          <w:color w:val="000000" w:themeColor="text1"/>
        </w:rPr>
        <w:t xml:space="preserve"> this paper, coastal resilience is defined as “the capacity of the socioeconomic and natural systems in the coastal environment to cope with disturbances induced by factors such as sea level rise, extreme events and human impacts” by adapting while maintaining their ecological integrity (</w:t>
      </w:r>
      <w:proofErr w:type="spellStart"/>
      <w:r w:rsidRPr="006A5733">
        <w:rPr>
          <w:color w:val="000000" w:themeColor="text1"/>
        </w:rPr>
        <w:t>Masselink</w:t>
      </w:r>
      <w:proofErr w:type="spellEnd"/>
      <w:r w:rsidRPr="006A5733">
        <w:rPr>
          <w:color w:val="000000" w:themeColor="text1"/>
        </w:rPr>
        <w:t xml:space="preserve"> and Lazarus, 2019). Adapted from a review paper on the subject, this definition reflects the reality of the increasingly dynamic nature of </w:t>
      </w:r>
      <w:r w:rsidRPr="006A5733">
        <w:rPr>
          <w:color w:val="000000" w:themeColor="text1"/>
        </w:rPr>
        <w:lastRenderedPageBreak/>
        <w:t>estuarine ecosystems like the Fraser River Estuary, where different states might still meet the needs of the living beings inhabiting the ecosystem (</w:t>
      </w:r>
      <w:proofErr w:type="spellStart"/>
      <w:r w:rsidRPr="006A5733">
        <w:rPr>
          <w:color w:val="000000" w:themeColor="text1"/>
        </w:rPr>
        <w:t>Masselink</w:t>
      </w:r>
      <w:proofErr w:type="spellEnd"/>
      <w:r w:rsidRPr="006A5733">
        <w:rPr>
          <w:color w:val="000000" w:themeColor="text1"/>
        </w:rPr>
        <w:t xml:space="preserve"> and Lazarus, 2019).</w:t>
      </w:r>
    </w:p>
    <w:p w14:paraId="2B4F9467" w14:textId="6363942C" w:rsidR="003B0DC2" w:rsidRDefault="003B0DC2" w:rsidP="000C53BC">
      <w:pPr>
        <w:spacing w:line="480" w:lineRule="auto"/>
        <w:rPr>
          <w:color w:val="000000" w:themeColor="text1"/>
        </w:rPr>
      </w:pPr>
    </w:p>
    <w:p w14:paraId="513539B7" w14:textId="3AE0B0D4" w:rsidR="003B0DC2" w:rsidRDefault="003B0DC2" w:rsidP="000C53BC">
      <w:pPr>
        <w:pStyle w:val="Heading3"/>
        <w:spacing w:line="480" w:lineRule="auto"/>
      </w:pPr>
      <w:bookmarkStart w:id="12" w:name="_Toc133020830"/>
      <w:r>
        <w:t>Threats to Coastal Resilience</w:t>
      </w:r>
      <w:bookmarkEnd w:id="12"/>
    </w:p>
    <w:p w14:paraId="3392F48D" w14:textId="77777777" w:rsidR="006A5733" w:rsidRDefault="006A5733" w:rsidP="000C53BC">
      <w:pPr>
        <w:spacing w:line="480" w:lineRule="auto"/>
        <w:rPr>
          <w:color w:val="000000" w:themeColor="text1"/>
        </w:rPr>
      </w:pPr>
      <w:r w:rsidRPr="006A5733">
        <w:rPr>
          <w:color w:val="000000" w:themeColor="text1"/>
        </w:rPr>
        <w:t xml:space="preserve">Within the idea of coastal resilience, the concept is defined differently according to the coastal landscapes and the context specific to the local environment. Tidal mudflats in an estuary system like the Fraser River result from a complex system of feedback loops between water depth, sedimentation, and vegetation patterns (Cahoon et al., 2016; </w:t>
      </w:r>
      <w:proofErr w:type="spellStart"/>
      <w:r w:rsidRPr="006A5733">
        <w:rPr>
          <w:color w:val="000000" w:themeColor="text1"/>
        </w:rPr>
        <w:t>Fagherazzi</w:t>
      </w:r>
      <w:proofErr w:type="spellEnd"/>
      <w:r w:rsidRPr="006A5733">
        <w:rPr>
          <w:color w:val="000000" w:themeColor="text1"/>
        </w:rPr>
        <w:t xml:space="preserve"> et al., 2012). From the perspective of the use of the Fraser River Estuary by shorebirds, ecological integrity is critical to maintaining the ability of the shorebirds to use the site as a stopover point. Today, 102 species in the Estuary are at risk of local extinction, an alarming indicator of the stress the ecosystem is under and the importance of understanding the threats to coastal resilience (Kehoe et al., 2020). Like many ecosystems, the Estuary is under the stress of a changing climate. Specific to the Estuary, a rising sea level, increased wave action, and warming waters concern the nearby communities (Barron et al., 2012). </w:t>
      </w:r>
    </w:p>
    <w:p w14:paraId="063B2803" w14:textId="77777777" w:rsidR="006A5733" w:rsidRDefault="006A5733" w:rsidP="000C53BC">
      <w:pPr>
        <w:spacing w:line="480" w:lineRule="auto"/>
        <w:rPr>
          <w:color w:val="000000" w:themeColor="text1"/>
        </w:rPr>
      </w:pPr>
      <w:r w:rsidRPr="006A5733">
        <w:rPr>
          <w:color w:val="000000" w:themeColor="text1"/>
        </w:rPr>
        <w:t xml:space="preserve">In terms of impacts on local communities, Delta is also slowly subsisting due to Fraser River soil deposits, amplifying the impacts of sea level rise (Barron et al., 2012). Specific to Delta, only half of the city’s landmass is more than 1.5 </w:t>
      </w:r>
      <w:proofErr w:type="spellStart"/>
      <w:r w:rsidRPr="006A5733">
        <w:rPr>
          <w:color w:val="000000" w:themeColor="text1"/>
        </w:rPr>
        <w:t>metres</w:t>
      </w:r>
      <w:proofErr w:type="spellEnd"/>
      <w:r w:rsidRPr="006A5733">
        <w:rPr>
          <w:color w:val="000000" w:themeColor="text1"/>
        </w:rPr>
        <w:t xml:space="preserve"> above sea level, contributing to farms being flooded on an annual basis due to intense winter rainstorms (Barron et al., 2012:12). While there is uncertainty around the extent of the impact of climate change, there is high confidence that different elements of the ecosystem will change and the direction it will change (</w:t>
      </w:r>
      <w:proofErr w:type="spellStart"/>
      <w:r w:rsidRPr="006A5733">
        <w:rPr>
          <w:color w:val="000000" w:themeColor="text1"/>
        </w:rPr>
        <w:t>Greenan</w:t>
      </w:r>
      <w:proofErr w:type="spellEnd"/>
      <w:r w:rsidRPr="006A5733">
        <w:rPr>
          <w:color w:val="000000" w:themeColor="text1"/>
        </w:rPr>
        <w:t xml:space="preserve"> et al., 2018). At the same time, pressures from local communities continue to increase. Between the two most recent Canadian censuses, the population growth rate in Surrey was nearly 10%, followed closely by Delta and then Richmond (Szeto, 2022). </w:t>
      </w:r>
    </w:p>
    <w:p w14:paraId="069BBA5F" w14:textId="27BC84B0" w:rsidR="003B0DC2" w:rsidRPr="002D6D9D" w:rsidRDefault="006A5733" w:rsidP="000C53BC">
      <w:pPr>
        <w:spacing w:line="480" w:lineRule="auto"/>
        <w:rPr>
          <w:rFonts w:eastAsiaTheme="minorHAnsi"/>
          <w:color w:val="000000" w:themeColor="text1"/>
        </w:rPr>
      </w:pPr>
      <w:r w:rsidRPr="006A5733">
        <w:rPr>
          <w:color w:val="000000" w:themeColor="text1"/>
        </w:rPr>
        <w:lastRenderedPageBreak/>
        <w:t xml:space="preserve">There are also significant infrastructure projects on the way, particularly for the shipping industry in Vancouver. In particular, the Roberts Bank Terminal 2 is under review, which would significantly increase vessel traffic and disturbance to the Estuary (Vancouver Fraser Port Authority, 2020). Together, the different factors lead to a coastal squeeze of the coastal zone (Sutton-Grier et al., 2015; Powell et al., 2019). As the sea level rises, coastal ecosystems like marshes will naturally shift with a changing environment (Powell et al., 2019). However, with only increasing human settlements along the coastline in addition to industrial uses and dikes, there is increasingly little space for the natural coastal ecosystems and limits their ability to deliver the ecosystem systems that human communities rely on them for (Sutton-Grier et al., 2015; Powell et al., 2019; </w:t>
      </w:r>
      <w:proofErr w:type="spellStart"/>
      <w:r w:rsidRPr="006A5733">
        <w:rPr>
          <w:color w:val="000000" w:themeColor="text1"/>
        </w:rPr>
        <w:t>Barbier</w:t>
      </w:r>
      <w:proofErr w:type="spellEnd"/>
      <w:r w:rsidRPr="006A5733">
        <w:rPr>
          <w:color w:val="000000" w:themeColor="text1"/>
        </w:rPr>
        <w:t xml:space="preserve">, 2017). </w:t>
      </w:r>
    </w:p>
    <w:p w14:paraId="1F4989B6" w14:textId="77777777" w:rsidR="003B0DC2" w:rsidRDefault="003B0DC2" w:rsidP="000C53BC">
      <w:pPr>
        <w:pStyle w:val="Heading2"/>
        <w:spacing w:line="480" w:lineRule="auto"/>
      </w:pPr>
      <w:bookmarkStart w:id="13" w:name="_Toc133020831"/>
      <w:r>
        <w:t>Legislative Contexts</w:t>
      </w:r>
      <w:bookmarkEnd w:id="13"/>
    </w:p>
    <w:p w14:paraId="6334C241" w14:textId="38B3BCD0" w:rsidR="003B0DC2" w:rsidRPr="005B3A28" w:rsidRDefault="00D119EE" w:rsidP="000C53BC">
      <w:pPr>
        <w:pStyle w:val="NormalWeb"/>
        <w:spacing w:before="0" w:beforeAutospacing="0" w:after="158" w:afterAutospacing="0" w:line="480" w:lineRule="auto"/>
        <w:ind w:firstLine="576"/>
        <w:rPr>
          <w:color w:val="000000" w:themeColor="text1"/>
        </w:rPr>
      </w:pPr>
      <w:r w:rsidRPr="00D119EE">
        <w:rPr>
          <w:color w:val="000000" w:themeColor="text1"/>
        </w:rPr>
        <w:t xml:space="preserve">Broadly, governance is understood in the environmental sphere as the “exercise of authority over the environment through the processes and institutions by which decisions are made” (Plummer et al., 2013). A fundamental foundation for governance is the legislation and policy at all relevant levels of government that lays out the mandates of different governmental organizations and their objectives. Across Canada, environmental governance is a collaborative effort involving many partners inside the government and beyond (Hill et al., 2008; Ray et al., 2021; Scott, 2018). The shared responsibility and complex governance systems increase the likelihood of inter-jurisdictional fragmentation regarding the allocation of responsibility for the governance of water resources (Hill et al., 2008). In the Fraser River Estuary context, 64 First Nation, municipal, provincial, and federal governments collectively oversee the governance of the estuary’s resources (Kehoe et al., 2020). Their legislation and plans are a testament to the complexity of the governance in the arena of the Fraser River Estuary, as this next section will demonstrate.   </w:t>
      </w:r>
    </w:p>
    <w:p w14:paraId="7A0D1C93" w14:textId="77777777" w:rsidR="003B0DC2" w:rsidRDefault="003B0DC2" w:rsidP="000C53BC">
      <w:pPr>
        <w:pStyle w:val="Heading3"/>
        <w:spacing w:line="480" w:lineRule="auto"/>
      </w:pPr>
      <w:bookmarkStart w:id="14" w:name="_Toc133020832"/>
      <w:r>
        <w:lastRenderedPageBreak/>
        <w:t>Federal Level</w:t>
      </w:r>
      <w:bookmarkEnd w:id="14"/>
    </w:p>
    <w:p w14:paraId="59A2AEE6" w14:textId="6AFC2DD0" w:rsidR="007A0DA1" w:rsidRPr="007A0DA1" w:rsidRDefault="007A0DA1" w:rsidP="007A0DA1">
      <w:pPr>
        <w:pStyle w:val="NormalWeb"/>
        <w:spacing w:before="0" w:beforeAutospacing="0" w:after="158" w:afterAutospacing="0" w:line="480" w:lineRule="auto"/>
        <w:ind w:firstLine="720"/>
        <w:rPr>
          <w:color w:val="000000" w:themeColor="text1"/>
        </w:rPr>
      </w:pPr>
      <w:r w:rsidRPr="007A0DA1">
        <w:rPr>
          <w:color w:val="000000" w:themeColor="text1"/>
        </w:rPr>
        <w:t>To begin at a high level, the federal government’s powers are set out by the Canadian Constitution Act (Canadian Constitution, 1982, s 6(2)(b)). Specific to oceans and coastal regions, the federal government has jurisdiction over boundary and transboundary waters, federal lands, and inland fisheries. Relevant federal legislation includes the Migratory Birds Convention Act (1917), the Species at Risk Act (2002), the Impact Assessment Act (2019), the Oceans Act (1996), the Canada Marine Act (1998), the Fisheries Act (1985), and the Canadian Wildlife Act (1973) (Lemieux, 2016:313). They also have powers related to Peace, Order, and Good Government, which has been interpreted to give the federal government jurisdiction over “matters of national concern,” like climate change (Duncan, 1978:2). Despite existing legislation, good governance does depend on decisions being made by those appointed or elected to do so and accountability mechanisms, which in turn is a product of capacity and political will (Hill et al., 2008). </w:t>
      </w:r>
    </w:p>
    <w:p w14:paraId="511C9614" w14:textId="77777777" w:rsidR="007A0DA1" w:rsidRPr="007A0DA1" w:rsidRDefault="007A0DA1" w:rsidP="007A0DA1">
      <w:pPr>
        <w:pStyle w:val="NormalWeb"/>
        <w:spacing w:after="158" w:line="480" w:lineRule="auto"/>
        <w:ind w:firstLine="720"/>
        <w:rPr>
          <w:color w:val="000000" w:themeColor="text1"/>
        </w:rPr>
      </w:pPr>
      <w:r w:rsidRPr="007A0DA1">
        <w:rPr>
          <w:color w:val="000000" w:themeColor="text1"/>
        </w:rPr>
        <w:t>In 1976, the Fraser River, estuary included, was the subject of study because of leadership and funding from the federal government (Langer, 2019). Following the study, the Fraser River Estuary Management Plan (FREMP) was created in 1982 (FREMP, 1997). After about two decades of important work being done through the entity, it was disbanded, and the responsibilities were turned over to the Port of Vancouver (Langer, 2019). While the arrangement with the Port of Vancouver was intended to be temporary until a new model was created, there has been no movement towards that goal (Langer, 2019:9). Several different entities have raised concerns about the need for a new independent authority to represent the interests of the Estuary (Langer, 2019). </w:t>
      </w:r>
    </w:p>
    <w:p w14:paraId="334E8408" w14:textId="015D6B00" w:rsidR="003B0DC2" w:rsidRDefault="003B0DC2" w:rsidP="000C53BC">
      <w:pPr>
        <w:pStyle w:val="Heading3"/>
        <w:spacing w:line="480" w:lineRule="auto"/>
      </w:pPr>
      <w:bookmarkStart w:id="15" w:name="_Toc133020833"/>
      <w:r>
        <w:t>Provincial and Regional Level</w:t>
      </w:r>
      <w:bookmarkEnd w:id="15"/>
    </w:p>
    <w:p w14:paraId="77E2520E" w14:textId="501FC771" w:rsidR="003B0DC2" w:rsidRPr="002F339D" w:rsidRDefault="000B1859" w:rsidP="00737136">
      <w:pPr>
        <w:pStyle w:val="NormalWeb"/>
        <w:spacing w:before="0" w:beforeAutospacing="0" w:after="158" w:afterAutospacing="0" w:line="480" w:lineRule="auto"/>
        <w:ind w:firstLine="720"/>
        <w:rPr>
          <w:color w:val="000000" w:themeColor="text1"/>
        </w:rPr>
      </w:pPr>
      <w:r w:rsidRPr="000B1859">
        <w:rPr>
          <w:color w:val="000000" w:themeColor="text1"/>
        </w:rPr>
        <w:t xml:space="preserve">As previously mentioned, the provinces specifically have the constitutionally mandated lead in water governance and coastline conservation, with their authority ending at the low tide </w:t>
      </w:r>
      <w:r w:rsidRPr="000B1859">
        <w:rPr>
          <w:color w:val="000000" w:themeColor="text1"/>
        </w:rPr>
        <w:lastRenderedPageBreak/>
        <w:t>marker (Duncan, 1978; Hill et al., 2008). The province also has authority regarding natural resource development and local municipalities.</w:t>
      </w:r>
      <w:r>
        <w:rPr>
          <w:color w:val="000000" w:themeColor="text1"/>
        </w:rPr>
        <w:t xml:space="preserve"> </w:t>
      </w:r>
      <w:r>
        <w:t>At the provincial level, the water legislation is the Water Sustainability Act, which focuses on water resource use and access but also has provisions for protecting aquatic habitats of streams, including the fish and wildlife that are a part of those ecosystems (Province of British Columbia, 2016). The </w:t>
      </w:r>
      <w:r>
        <w:rPr>
          <w:color w:val="0E101A"/>
          <w:u w:val="single"/>
        </w:rPr>
        <w:t>Dike Maintenance Act</w:t>
      </w:r>
      <w:r>
        <w:t> and the </w:t>
      </w:r>
      <w:r>
        <w:rPr>
          <w:color w:val="0E101A"/>
          <w:u w:val="single"/>
        </w:rPr>
        <w:t>Drainage, Ditch and Dike Act</w:t>
      </w:r>
      <w:r>
        <w:t xml:space="preserve"> legislate flood prevention systems at a provincial level (Province of BC, </w:t>
      </w:r>
      <w:proofErr w:type="spellStart"/>
      <w:r>
        <w:t>n.d.c</w:t>
      </w:r>
      <w:proofErr w:type="spellEnd"/>
      <w:r>
        <w:t>).</w:t>
      </w:r>
      <w:r w:rsidR="003B0DC2" w:rsidRPr="005B3A28">
        <w:rPr>
          <w:color w:val="000000" w:themeColor="text1"/>
        </w:rPr>
        <w:t xml:space="preserve"> </w:t>
      </w:r>
      <w:r w:rsidRPr="000B1859">
        <w:rPr>
          <w:color w:val="000000" w:themeColor="text1"/>
        </w:rPr>
        <w:t xml:space="preserve">The province also has specific legislation addressing natural resources, environmental assessment, protected areas, and forestry (Province of BC, </w:t>
      </w:r>
      <w:proofErr w:type="spellStart"/>
      <w:r w:rsidRPr="000B1859">
        <w:rPr>
          <w:color w:val="000000" w:themeColor="text1"/>
        </w:rPr>
        <w:t>n.d.c</w:t>
      </w:r>
      <w:proofErr w:type="spellEnd"/>
      <w:r w:rsidRPr="000B1859">
        <w:rPr>
          <w:color w:val="000000" w:themeColor="text1"/>
        </w:rPr>
        <w:t>). At the regional scale, the Lower Mainland region is unique in population density and coastal flooding risk compared to many other regions of the province.</w:t>
      </w:r>
      <w:r>
        <w:rPr>
          <w:color w:val="000000" w:themeColor="text1"/>
        </w:rPr>
        <w:t xml:space="preserve"> </w:t>
      </w:r>
      <w:r w:rsidRPr="000B1859">
        <w:rPr>
          <w:color w:val="000000" w:themeColor="text1"/>
        </w:rPr>
        <w:t>To meet the region’s unique needs, the Fraser Basin Council, an NGO, was created in 1997 to advance sustainability across the Fraser River Basin with representatives from all four orders of government (FBC, n.d.)</w:t>
      </w:r>
      <w:r>
        <w:rPr>
          <w:color w:val="000000" w:themeColor="text1"/>
        </w:rPr>
        <w:t xml:space="preserve">. </w:t>
      </w:r>
      <w:r w:rsidR="003B0DC2" w:rsidRPr="005B3A28">
        <w:rPr>
          <w:color w:val="000000" w:themeColor="text1"/>
        </w:rPr>
        <w:t xml:space="preserve">The organization released a Lower Mainland Flood Management in three phases beginning 2014 to take a regional approach to reduce </w:t>
      </w:r>
      <w:r w:rsidRPr="005B3A28">
        <w:rPr>
          <w:noProof/>
        </w:rPr>
        <w:drawing>
          <wp:anchor distT="0" distB="0" distL="114300" distR="114300" simplePos="0" relativeHeight="251667456" behindDoc="0" locked="0" layoutInCell="1" allowOverlap="1" wp14:anchorId="6D9E4692" wp14:editId="5A7F2B90">
            <wp:simplePos x="0" y="0"/>
            <wp:positionH relativeFrom="column">
              <wp:posOffset>-323215</wp:posOffset>
            </wp:positionH>
            <wp:positionV relativeFrom="paragraph">
              <wp:posOffset>4442056</wp:posOffset>
            </wp:positionV>
            <wp:extent cx="5943600" cy="3541395"/>
            <wp:effectExtent l="0" t="0" r="0" b="1905"/>
            <wp:wrapTopAndBottom/>
            <wp:docPr id="1" name="Picture 1" descr="Boundary bay salt marsh climate change Fraser Estuar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undary bay salt marsh climate change Fraser Estuary ma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541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2AFA4AFC" wp14:editId="0B48B4F9">
                <wp:simplePos x="0" y="0"/>
                <wp:positionH relativeFrom="column">
                  <wp:posOffset>-248920</wp:posOffset>
                </wp:positionH>
                <wp:positionV relativeFrom="paragraph">
                  <wp:posOffset>7884160</wp:posOffset>
                </wp:positionV>
                <wp:extent cx="5943600" cy="635"/>
                <wp:effectExtent l="0" t="0" r="0" b="12065"/>
                <wp:wrapTopAndBottom/>
                <wp:docPr id="1424236530"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60F985C" w14:textId="5350DC97" w:rsidR="002F339D" w:rsidRPr="007378CC" w:rsidRDefault="002F339D" w:rsidP="002F339D">
                            <w:pPr>
                              <w:pStyle w:val="Caption"/>
                              <w:rPr>
                                <w:color w:val="000000" w:themeColor="text1"/>
                                <w:sz w:val="22"/>
                                <w:lang w:eastAsia="en-CA"/>
                              </w:rPr>
                            </w:pPr>
                            <w:r>
                              <w:t xml:space="preserve">Figure </w:t>
                            </w:r>
                            <w:r>
                              <w:fldChar w:fldCharType="begin"/>
                            </w:r>
                            <w:r>
                              <w:instrText xml:space="preserve"> SEQ Figure \* ARABIC </w:instrText>
                            </w:r>
                            <w:r>
                              <w:fldChar w:fldCharType="separate"/>
                            </w:r>
                            <w:r w:rsidR="00EB00AF">
                              <w:rPr>
                                <w:noProof/>
                              </w:rPr>
                              <w:t>4</w:t>
                            </w:r>
                            <w:r>
                              <w:fldChar w:fldCharType="end"/>
                            </w:r>
                            <w:r>
                              <w:t xml:space="preserve"> </w:t>
                            </w:r>
                            <w:r w:rsidRPr="007C441C">
                              <w:t xml:space="preserve">A map of the Fraser estuary (Wood, 2020). Map: Carol </w:t>
                            </w:r>
                            <w:proofErr w:type="spellStart"/>
                            <w:r w:rsidRPr="007C441C">
                              <w:t>Linnitt</w:t>
                            </w:r>
                            <w:proofErr w:type="spellEnd"/>
                            <w:r w:rsidRPr="007C441C">
                              <w:t>/The Narwhal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FA4AFC" id="_x0000_s1029" type="#_x0000_t202" style="position:absolute;left:0;text-align:left;margin-left:-19.6pt;margin-top:620.8pt;width:468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" stroked="f">
                <v:textbox style="mso-fit-shape-to-text:t" inset="0,0,0,0">
                  <w:txbxContent>
                    <w:p w14:paraId="360F985C" w14:textId="5350DC97" w:rsidR="002F339D" w:rsidRPr="007378CC" w:rsidRDefault="002F339D" w:rsidP="002F339D">
                      <w:pPr>
                        <w:pStyle w:val="Caption"/>
                        <w:rPr>
                          <w:color w:val="000000" w:themeColor="text1"/>
                          <w:sz w:val="22"/>
                          <w:lang w:eastAsia="en-CA"/>
                        </w:rPr>
                      </w:pPr>
                      <w:r>
                        <w:t xml:space="preserve">Figure </w:t>
                      </w:r>
                      <w:r>
                        <w:fldChar w:fldCharType="begin"/>
                      </w:r>
                      <w:r>
                        <w:instrText xml:space="preserve"> SEQ Figure \* ARABIC </w:instrText>
                      </w:r>
                      <w:r>
                        <w:fldChar w:fldCharType="separate"/>
                      </w:r>
                      <w:r w:rsidR="00EB00AF">
                        <w:rPr>
                          <w:noProof/>
                        </w:rPr>
                        <w:t>4</w:t>
                      </w:r>
                      <w:r>
                        <w:fldChar w:fldCharType="end"/>
                      </w:r>
                      <w:r>
                        <w:t xml:space="preserve"> </w:t>
                      </w:r>
                      <w:r w:rsidRPr="007C441C">
                        <w:t xml:space="preserve">A map of the Fraser estuary (Wood, 2020). Map: Carol </w:t>
                      </w:r>
                      <w:proofErr w:type="spellStart"/>
                      <w:r w:rsidRPr="007C441C">
                        <w:t>Linnitt</w:t>
                      </w:r>
                      <w:proofErr w:type="spellEnd"/>
                      <w:r w:rsidRPr="007C441C">
                        <w:t>/The Narwhal</w:t>
                      </w:r>
                    </w:p>
                  </w:txbxContent>
                </v:textbox>
                <w10:wrap type="topAndBottom"/>
              </v:shape>
            </w:pict>
          </mc:Fallback>
        </mc:AlternateContent>
      </w:r>
      <w:r w:rsidR="003B0DC2" w:rsidRPr="005B3A28">
        <w:rPr>
          <w:color w:val="000000" w:themeColor="text1"/>
        </w:rPr>
        <w:t>flood risk and improve the resiliency of local communities to future flood events</w:t>
      </w:r>
      <w:r>
        <w:rPr>
          <w:color w:val="000000" w:themeColor="text1"/>
        </w:rPr>
        <w:t xml:space="preserve"> (FBC, n.d.)</w:t>
      </w:r>
      <w:r w:rsidR="002F339D" w:rsidRPr="005B3A28">
        <w:fldChar w:fldCharType="begin"/>
      </w:r>
      <w:r w:rsidR="002F339D" w:rsidRPr="005B3A28">
        <w:instrText xml:space="preserve"> INCLUDEPICTURE "https://thenarwhal.ca/wp-content/uploads/2020/06/Fraser-Estuary-map.jpg" \* MERGEFORMATINET </w:instrText>
      </w:r>
      <w:r w:rsidR="00000000">
        <w:fldChar w:fldCharType="separate"/>
      </w:r>
      <w:r w:rsidR="002F339D" w:rsidRPr="005B3A28">
        <w:fldChar w:fldCharType="end"/>
      </w:r>
    </w:p>
    <w:p w14:paraId="4072D6ED" w14:textId="77777777" w:rsidR="003B0DC2" w:rsidRDefault="003B0DC2" w:rsidP="000C53BC">
      <w:pPr>
        <w:pStyle w:val="Heading3"/>
        <w:spacing w:line="480" w:lineRule="auto"/>
      </w:pPr>
      <w:bookmarkStart w:id="16" w:name="_Toc133020834"/>
      <w:r>
        <w:lastRenderedPageBreak/>
        <w:t>Local Municipalities</w:t>
      </w:r>
      <w:bookmarkEnd w:id="16"/>
    </w:p>
    <w:p w14:paraId="6D74AE5C" w14:textId="77777777" w:rsidR="00310031" w:rsidRDefault="00310031" w:rsidP="00310031">
      <w:pPr>
        <w:pStyle w:val="Heading3"/>
        <w:numPr>
          <w:ilvl w:val="0"/>
          <w:numId w:val="0"/>
        </w:numPr>
        <w:spacing w:line="480" w:lineRule="auto"/>
        <w:rPr>
          <w:rFonts w:ascii="Times New Roman" w:hAnsi="Times New Roman" w:cs="Times New Roman"/>
          <w:b w:val="0"/>
          <w:iCs w:val="0"/>
          <w:color w:val="000000" w:themeColor="text1"/>
          <w:spacing w:val="0"/>
          <w:szCs w:val="24"/>
          <w:lang w:val="en-CA" w:eastAsia="en-CA"/>
        </w:rPr>
      </w:pPr>
      <w:bookmarkStart w:id="17" w:name="_Toc133020835"/>
      <w:r w:rsidRPr="00310031">
        <w:rPr>
          <w:rFonts w:ascii="Times New Roman" w:hAnsi="Times New Roman" w:cs="Times New Roman"/>
          <w:b w:val="0"/>
          <w:iCs w:val="0"/>
          <w:color w:val="000000" w:themeColor="text1"/>
          <w:spacing w:val="0"/>
          <w:szCs w:val="24"/>
          <w:lang w:val="en-CA" w:eastAsia="en-CA"/>
        </w:rPr>
        <w:t>The many municipalities along the lower Fraser River, particularly those in the lower mainland, play an essential role in the decision-making that contributes to the well-being of the estuary. To limit its scope, this paper will only outline the roles of Richmond, Surrey, Delta, and White Rock as the municipalities adjacent to the estuary, as seen in Figure 1, which border the principal areas of the estuary used by the shorebirds. In Richmond, while the city has yet to adopt a coastal flood adaption strategy, stakeholders and certain city council members have advocated for the process to begin. However, the council currently has a flood protection management strategy (</w:t>
      </w:r>
      <w:proofErr w:type="spellStart"/>
      <w:r w:rsidRPr="00310031">
        <w:rPr>
          <w:rFonts w:ascii="Times New Roman" w:hAnsi="Times New Roman" w:cs="Times New Roman"/>
          <w:b w:val="0"/>
          <w:iCs w:val="0"/>
          <w:color w:val="000000" w:themeColor="text1"/>
          <w:spacing w:val="0"/>
          <w:szCs w:val="24"/>
          <w:lang w:val="en-CA" w:eastAsia="en-CA"/>
        </w:rPr>
        <w:t>Steves</w:t>
      </w:r>
      <w:proofErr w:type="spellEnd"/>
      <w:r w:rsidRPr="00310031">
        <w:rPr>
          <w:rFonts w:ascii="Times New Roman" w:hAnsi="Times New Roman" w:cs="Times New Roman"/>
          <w:b w:val="0"/>
          <w:iCs w:val="0"/>
          <w:color w:val="000000" w:themeColor="text1"/>
          <w:spacing w:val="0"/>
          <w:szCs w:val="24"/>
          <w:lang w:val="en-CA" w:eastAsia="en-CA"/>
        </w:rPr>
        <w:t>, 2020). To the east, in Surrey, the city council finalized their coastal flood adaptation strategy in 2019 to recognition from national organizations around community engagement achievements, including nature-based solutions (</w:t>
      </w:r>
      <w:proofErr w:type="spellStart"/>
      <w:r w:rsidRPr="00310031">
        <w:rPr>
          <w:rFonts w:ascii="Times New Roman" w:hAnsi="Times New Roman" w:cs="Times New Roman"/>
          <w:b w:val="0"/>
          <w:iCs w:val="0"/>
          <w:color w:val="000000" w:themeColor="text1"/>
          <w:spacing w:val="0"/>
          <w:szCs w:val="24"/>
          <w:lang w:val="en-CA" w:eastAsia="en-CA"/>
        </w:rPr>
        <w:t>NbS</w:t>
      </w:r>
      <w:proofErr w:type="spellEnd"/>
      <w:r w:rsidRPr="00310031">
        <w:rPr>
          <w:rFonts w:ascii="Times New Roman" w:hAnsi="Times New Roman" w:cs="Times New Roman"/>
          <w:b w:val="0"/>
          <w:iCs w:val="0"/>
          <w:color w:val="000000" w:themeColor="text1"/>
          <w:spacing w:val="0"/>
          <w:szCs w:val="24"/>
          <w:lang w:val="en-CA" w:eastAsia="en-CA"/>
        </w:rPr>
        <w:t xml:space="preserve">) and prioritizing environmental concerns. In Delta, studies have been conducted on the subject by Stantec and FBC, but there has yet to be a plan specifically for coastal flooding despite recognizing the risk (Barron et al., 2012; Li, 2018). Finally, the city currently has an integrated stormwater management plan in White Rock, but it is over a decade old (City of White Rock, 2010). </w:t>
      </w:r>
    </w:p>
    <w:p w14:paraId="34B023C2" w14:textId="3B9C123E" w:rsidR="003B0DC2" w:rsidRDefault="003B0DC2" w:rsidP="00310031">
      <w:pPr>
        <w:pStyle w:val="Heading3"/>
        <w:spacing w:line="480" w:lineRule="auto"/>
      </w:pPr>
      <w:r>
        <w:t>First Nation Communities</w:t>
      </w:r>
      <w:bookmarkEnd w:id="17"/>
    </w:p>
    <w:p w14:paraId="64589E5E" w14:textId="3E804F68" w:rsidR="003B0DC2" w:rsidRPr="005B3A28" w:rsidRDefault="00310031" w:rsidP="000C53BC">
      <w:pPr>
        <w:pStyle w:val="NormalWeb"/>
        <w:spacing w:before="0" w:beforeAutospacing="0" w:after="158" w:afterAutospacing="0" w:line="480" w:lineRule="auto"/>
        <w:ind w:firstLine="720"/>
        <w:rPr>
          <w:color w:val="000000" w:themeColor="text1"/>
        </w:rPr>
      </w:pPr>
      <w:r w:rsidRPr="00310031">
        <w:rPr>
          <w:color w:val="000000" w:themeColor="text1"/>
        </w:rPr>
        <w:t xml:space="preserve">Since time immemorial, First Nations people have played a role in the Fraser River Estuary ecosystem. Coast Salish peoples have long relied on the estuary environment for food and value their spiritual relationship with the environment (FBC, 2006; </w:t>
      </w:r>
      <w:proofErr w:type="spellStart"/>
      <w:r w:rsidRPr="00310031">
        <w:rPr>
          <w:color w:val="000000" w:themeColor="text1"/>
        </w:rPr>
        <w:t>Lepofsky</w:t>
      </w:r>
      <w:proofErr w:type="spellEnd"/>
      <w:r w:rsidRPr="00310031">
        <w:rPr>
          <w:color w:val="000000" w:themeColor="text1"/>
        </w:rPr>
        <w:t xml:space="preserve"> et al., 2009). Their subsistence activities in the Fraser River Estuary have defined their relationship with the Fraser as one of reciprocity (FBC, 2006). The Lower Mainland region is the traditional, ancestral, and unceded territories of the </w:t>
      </w:r>
      <w:proofErr w:type="spellStart"/>
      <w:r w:rsidRPr="00310031">
        <w:rPr>
          <w:color w:val="000000" w:themeColor="text1"/>
        </w:rPr>
        <w:t>scəw̓aθən</w:t>
      </w:r>
      <w:proofErr w:type="spellEnd"/>
      <w:r w:rsidRPr="00310031">
        <w:rPr>
          <w:color w:val="000000" w:themeColor="text1"/>
        </w:rPr>
        <w:t xml:space="preserve"> (Tsawwassen), </w:t>
      </w:r>
      <w:proofErr w:type="spellStart"/>
      <w:r w:rsidRPr="00310031">
        <w:rPr>
          <w:color w:val="000000" w:themeColor="text1"/>
        </w:rPr>
        <w:t>xʷməθkʷəy̓əm</w:t>
      </w:r>
      <w:proofErr w:type="spellEnd"/>
      <w:r w:rsidRPr="00310031">
        <w:rPr>
          <w:color w:val="000000" w:themeColor="text1"/>
        </w:rPr>
        <w:t xml:space="preserve"> (Musqueam), and other Coast Salish Peoples (</w:t>
      </w:r>
      <w:proofErr w:type="spellStart"/>
      <w:proofErr w:type="gramStart"/>
      <w:r w:rsidRPr="00310031">
        <w:rPr>
          <w:color w:val="000000" w:themeColor="text1"/>
        </w:rPr>
        <w:t>Stó:lō</w:t>
      </w:r>
      <w:proofErr w:type="spellEnd"/>
      <w:proofErr w:type="gramEnd"/>
      <w:r w:rsidRPr="00310031">
        <w:rPr>
          <w:color w:val="000000" w:themeColor="text1"/>
        </w:rPr>
        <w:t xml:space="preserve"> Research and Resource Management Centre, 2020; FBC, 2006; Ned et al., 2020).</w:t>
      </w:r>
    </w:p>
    <w:p w14:paraId="36C074A2" w14:textId="5FC3E7EA" w:rsidR="003B0DC2" w:rsidRDefault="00310031" w:rsidP="000C53BC">
      <w:pPr>
        <w:pStyle w:val="NormalWeb"/>
        <w:spacing w:before="0" w:beforeAutospacing="0" w:after="158" w:afterAutospacing="0" w:line="480" w:lineRule="auto"/>
        <w:ind w:firstLine="720"/>
        <w:rPr>
          <w:color w:val="000000" w:themeColor="text1"/>
        </w:rPr>
      </w:pPr>
      <w:r w:rsidRPr="00310031">
        <w:rPr>
          <w:color w:val="000000" w:themeColor="text1"/>
        </w:rPr>
        <w:lastRenderedPageBreak/>
        <w:t xml:space="preserve">Unlike other regions of Canada, for the most part, British Columbia does not have historical treaties with Indigenous peoples because the province did not recognize Indigenous title when it joined Canada in 1871 (Province of British Columbia, </w:t>
      </w:r>
      <w:proofErr w:type="spellStart"/>
      <w:r w:rsidRPr="00310031">
        <w:rPr>
          <w:color w:val="000000" w:themeColor="text1"/>
        </w:rPr>
        <w:t>n.d.b</w:t>
      </w:r>
      <w:proofErr w:type="spellEnd"/>
      <w:r w:rsidRPr="00310031">
        <w:rPr>
          <w:color w:val="000000" w:themeColor="text1"/>
        </w:rPr>
        <w:t xml:space="preserve">). The rights of Indigenous peoples locally were instead limited to those recognized in the Canadian Constitution (Province of British Columbia, </w:t>
      </w:r>
      <w:proofErr w:type="spellStart"/>
      <w:r w:rsidRPr="00310031">
        <w:rPr>
          <w:color w:val="000000" w:themeColor="text1"/>
        </w:rPr>
        <w:t>n.d.b</w:t>
      </w:r>
      <w:proofErr w:type="spellEnd"/>
      <w:r w:rsidRPr="00310031">
        <w:rPr>
          <w:color w:val="000000" w:themeColor="text1"/>
        </w:rPr>
        <w:t xml:space="preserve">). However, the negotiation of modern-day treaties in BC is underway through the British Columbia Treaty Commission (Province of British Columbia, </w:t>
      </w:r>
      <w:proofErr w:type="spellStart"/>
      <w:r w:rsidRPr="00310031">
        <w:rPr>
          <w:color w:val="000000" w:themeColor="text1"/>
        </w:rPr>
        <w:t>n.d.a</w:t>
      </w:r>
      <w:proofErr w:type="spellEnd"/>
      <w:r w:rsidRPr="00310031">
        <w:rPr>
          <w:color w:val="000000" w:themeColor="text1"/>
        </w:rPr>
        <w:t xml:space="preserve">). In proximity to the Fraser River Estuary, the </w:t>
      </w:r>
      <w:proofErr w:type="spellStart"/>
      <w:r w:rsidRPr="00310031">
        <w:rPr>
          <w:color w:val="000000" w:themeColor="text1"/>
        </w:rPr>
        <w:t>Tsawassen</w:t>
      </w:r>
      <w:proofErr w:type="spellEnd"/>
      <w:r w:rsidRPr="00310031">
        <w:rPr>
          <w:color w:val="000000" w:themeColor="text1"/>
        </w:rPr>
        <w:t xml:space="preserve"> First Nation signed an agreement with the province in 2007, which includes a chapter on migratory birds and the Nation’s right to be included in consultation on the subject and more broadly on environmental governance (Province of British Columbia, </w:t>
      </w:r>
      <w:proofErr w:type="spellStart"/>
      <w:r w:rsidRPr="00310031">
        <w:rPr>
          <w:color w:val="000000" w:themeColor="text1"/>
        </w:rPr>
        <w:t>n.d.a.</w:t>
      </w:r>
      <w:proofErr w:type="spellEnd"/>
      <w:r w:rsidRPr="00310031">
        <w:rPr>
          <w:color w:val="000000" w:themeColor="text1"/>
        </w:rPr>
        <w:t xml:space="preserve">) The new series of treaties will inform the role of Indigenous peoples in the future governance of the Fraser Estuary (Province of British Columbia, </w:t>
      </w:r>
      <w:proofErr w:type="spellStart"/>
      <w:r w:rsidRPr="00310031">
        <w:rPr>
          <w:color w:val="000000" w:themeColor="text1"/>
        </w:rPr>
        <w:t>n.d.a.</w:t>
      </w:r>
      <w:proofErr w:type="spellEnd"/>
      <w:r w:rsidRPr="00310031">
        <w:rPr>
          <w:color w:val="000000" w:themeColor="text1"/>
        </w:rPr>
        <w:t xml:space="preserve">; </w:t>
      </w:r>
      <w:proofErr w:type="spellStart"/>
      <w:r w:rsidRPr="00310031">
        <w:rPr>
          <w:color w:val="000000" w:themeColor="text1"/>
        </w:rPr>
        <w:t>Lepofsky</w:t>
      </w:r>
      <w:proofErr w:type="spellEnd"/>
      <w:r w:rsidRPr="00310031">
        <w:rPr>
          <w:color w:val="000000" w:themeColor="text1"/>
        </w:rPr>
        <w:t xml:space="preserve"> et al., 2009).</w:t>
      </w:r>
    </w:p>
    <w:p w14:paraId="104747B1" w14:textId="6B618BC2" w:rsidR="003B0DC2" w:rsidRPr="005B3A28" w:rsidRDefault="003B0DC2" w:rsidP="000C53BC">
      <w:pPr>
        <w:pStyle w:val="NormalWeb"/>
        <w:spacing w:before="0" w:beforeAutospacing="0" w:after="158" w:afterAutospacing="0" w:line="480" w:lineRule="auto"/>
        <w:ind w:firstLine="720"/>
        <w:rPr>
          <w:color w:val="000000" w:themeColor="text1"/>
        </w:rPr>
      </w:pPr>
      <w:r>
        <w:rPr>
          <w:color w:val="000000" w:themeColor="text1"/>
        </w:rPr>
        <w:t xml:space="preserve">At </w:t>
      </w:r>
      <w:r w:rsidR="00310031" w:rsidRPr="00310031">
        <w:rPr>
          <w:color w:val="000000" w:themeColor="text1"/>
        </w:rPr>
        <w:t xml:space="preserve">the international level, the United Nations Declaration on the Rights of Indigenous Peoples is considered the standard for Indigenous Rights. It has been ratified by the Government of British Columbia through the Declaration on the Rights of Indigenous Peoples Act (DRIPA) and by the Canadian federal government through the UNDRIP Act (Aiello, 2021; Government of British Columbia, 2019). Several articles of the International Declaration recognize the right of Indigenous people to participate as rights holders in consultation processes to uphold their rights, including Article 19 on free, prior, and informed consent, Article 25, which recognizes their right to maintain their distinctive spiritual relationship with their territories and uphold rights to future generations, and Article 29 which recognizes the right to the conservation of the environment and its productive capacity (Westwood et al., 2019; </w:t>
      </w:r>
      <w:proofErr w:type="spellStart"/>
      <w:r w:rsidR="00310031" w:rsidRPr="00310031">
        <w:rPr>
          <w:color w:val="000000" w:themeColor="text1"/>
        </w:rPr>
        <w:t>Domiguez</w:t>
      </w:r>
      <w:proofErr w:type="spellEnd"/>
      <w:r w:rsidR="00310031" w:rsidRPr="00310031">
        <w:rPr>
          <w:color w:val="000000" w:themeColor="text1"/>
        </w:rPr>
        <w:t xml:space="preserve"> et </w:t>
      </w:r>
      <w:proofErr w:type="spellStart"/>
      <w:r w:rsidR="00310031" w:rsidRPr="00310031">
        <w:rPr>
          <w:color w:val="000000" w:themeColor="text1"/>
        </w:rPr>
        <w:t>Luoma</w:t>
      </w:r>
      <w:proofErr w:type="spellEnd"/>
      <w:r w:rsidR="00310031" w:rsidRPr="00310031">
        <w:rPr>
          <w:color w:val="000000" w:themeColor="text1"/>
        </w:rPr>
        <w:t>, 2020; Atleo et Boron, 2022). By ratifying UNDRIP in law, it is expected that the legislation at the provincial and federal levels will be amended to align it with the international standard. However, progress has been slow to date (Simmons, 2021</w:t>
      </w:r>
      <w:r>
        <w:rPr>
          <w:color w:val="000000" w:themeColor="text1"/>
        </w:rPr>
        <w:t xml:space="preserve">).  </w:t>
      </w:r>
    </w:p>
    <w:p w14:paraId="199606CD" w14:textId="0F24990E" w:rsidR="003B0DC2" w:rsidRDefault="00310031" w:rsidP="000C53BC">
      <w:pPr>
        <w:pStyle w:val="NormalWeb"/>
        <w:spacing w:before="0" w:beforeAutospacing="0" w:after="158" w:afterAutospacing="0" w:line="480" w:lineRule="auto"/>
        <w:ind w:firstLine="576"/>
        <w:rPr>
          <w:color w:val="000000" w:themeColor="text1"/>
        </w:rPr>
      </w:pPr>
      <w:r w:rsidRPr="00310031">
        <w:rPr>
          <w:color w:val="000000" w:themeColor="text1"/>
        </w:rPr>
        <w:lastRenderedPageBreak/>
        <w:t xml:space="preserve">A growing body of academic literature has been published supporting the benefits of engaging First Nations as a </w:t>
      </w:r>
      <w:proofErr w:type="gramStart"/>
      <w:r w:rsidRPr="00310031">
        <w:rPr>
          <w:color w:val="000000" w:themeColor="text1"/>
        </w:rPr>
        <w:t>full partners</w:t>
      </w:r>
      <w:proofErr w:type="gramEnd"/>
      <w:r w:rsidRPr="00310031">
        <w:rPr>
          <w:color w:val="000000" w:themeColor="text1"/>
        </w:rPr>
        <w:t xml:space="preserve"> in resource management and conservation work (Kehoe et al., 2020; </w:t>
      </w:r>
      <w:proofErr w:type="spellStart"/>
      <w:r w:rsidRPr="00310031">
        <w:rPr>
          <w:color w:val="000000" w:themeColor="text1"/>
        </w:rPr>
        <w:t>Ens</w:t>
      </w:r>
      <w:proofErr w:type="spellEnd"/>
      <w:r w:rsidRPr="00310031">
        <w:rPr>
          <w:color w:val="000000" w:themeColor="text1"/>
        </w:rPr>
        <w:t xml:space="preserve"> et al., 2016; Parsons et al., 2021). As established in the literature, co-governance arrangements are more effective at generating social, economic, and environmental benefits (</w:t>
      </w:r>
      <w:proofErr w:type="spellStart"/>
      <w:r w:rsidRPr="00310031">
        <w:rPr>
          <w:color w:val="000000" w:themeColor="text1"/>
        </w:rPr>
        <w:t>Ens</w:t>
      </w:r>
      <w:proofErr w:type="spellEnd"/>
      <w:r w:rsidRPr="00310031">
        <w:rPr>
          <w:color w:val="000000" w:themeColor="text1"/>
        </w:rPr>
        <w:t xml:space="preserve"> et al., 2016).  </w:t>
      </w:r>
    </w:p>
    <w:p w14:paraId="2B8FB479" w14:textId="38C1204F" w:rsidR="003B0DC2" w:rsidRDefault="003B0DC2" w:rsidP="000C53BC">
      <w:pPr>
        <w:pStyle w:val="Heading2"/>
        <w:spacing w:line="480" w:lineRule="auto"/>
      </w:pPr>
      <w:bookmarkStart w:id="18" w:name="_Toc133020836"/>
      <w:r>
        <w:t>Existing Critical Frameworks</w:t>
      </w:r>
      <w:bookmarkEnd w:id="18"/>
      <w:r>
        <w:t xml:space="preserve"> </w:t>
      </w:r>
    </w:p>
    <w:p w14:paraId="430B632B" w14:textId="7E8FAD07" w:rsidR="003B0DC2" w:rsidRDefault="003B0DC2" w:rsidP="000C53BC">
      <w:pPr>
        <w:pStyle w:val="NormalWeb"/>
        <w:spacing w:before="0" w:beforeAutospacing="0" w:after="158" w:afterAutospacing="0" w:line="480" w:lineRule="auto"/>
        <w:ind w:firstLine="576"/>
        <w:rPr>
          <w:color w:val="000000"/>
        </w:rPr>
      </w:pPr>
      <w:r>
        <w:rPr>
          <w:color w:val="000000"/>
        </w:rPr>
        <w:t xml:space="preserve">Based </w:t>
      </w:r>
      <w:r w:rsidR="00310031">
        <w:rPr>
          <w:color w:val="000000"/>
        </w:rPr>
        <w:t>o</w:t>
      </w:r>
      <w:r>
        <w:rPr>
          <w:color w:val="000000"/>
        </w:rPr>
        <w:t>n theory, critical frameworks exist in literature to help make sense of interactions in socio-ecological systems and how governance processes impact their outcomes (</w:t>
      </w:r>
      <w:proofErr w:type="spellStart"/>
      <w:r>
        <w:rPr>
          <w:color w:val="000000"/>
        </w:rPr>
        <w:t>Partelow</w:t>
      </w:r>
      <w:proofErr w:type="spellEnd"/>
      <w:r>
        <w:rPr>
          <w:color w:val="000000"/>
        </w:rPr>
        <w:t xml:space="preserve"> et al., 2018). This section will provide an overview of existing scholarship in critical frameworks to inform </w:t>
      </w:r>
      <w:r w:rsidR="00310031">
        <w:rPr>
          <w:color w:val="000000"/>
        </w:rPr>
        <w:t xml:space="preserve">the </w:t>
      </w:r>
      <w:r>
        <w:rPr>
          <w:color w:val="000000"/>
        </w:rPr>
        <w:t xml:space="preserve">design of the criterion to analyze the Fraser River Estuary governance system.   </w:t>
      </w:r>
    </w:p>
    <w:p w14:paraId="26E840F7" w14:textId="77777777" w:rsidR="003B0DC2" w:rsidRDefault="003B0DC2" w:rsidP="000C53BC">
      <w:pPr>
        <w:pStyle w:val="Heading3"/>
        <w:spacing w:line="480" w:lineRule="auto"/>
      </w:pPr>
      <w:bookmarkStart w:id="19" w:name="_Toc133020837"/>
      <w:r w:rsidRPr="005B3A28">
        <w:rPr>
          <w:color w:val="000000"/>
        </w:rPr>
        <w:t>Existing Critical Frameworks to Evaluate Coastal Governance Systems</w:t>
      </w:r>
      <w:bookmarkEnd w:id="19"/>
    </w:p>
    <w:p w14:paraId="4C9CBE72" w14:textId="77777777" w:rsidR="00310031" w:rsidRDefault="003B0DC2" w:rsidP="00310031">
      <w:pPr>
        <w:pStyle w:val="NormalWeb"/>
        <w:spacing w:before="0" w:beforeAutospacing="0" w:after="158" w:afterAutospacing="0" w:line="480" w:lineRule="auto"/>
        <w:ind w:firstLine="504"/>
        <w:rPr>
          <w:color w:val="000000" w:themeColor="text1"/>
        </w:rPr>
      </w:pPr>
      <w:r w:rsidRPr="005B3A28">
        <w:rPr>
          <w:color w:val="000000" w:themeColor="text1"/>
        </w:rPr>
        <w:t>As</w:t>
      </w:r>
      <w:r w:rsidR="00310031" w:rsidRPr="00310031">
        <w:rPr>
          <w:color w:val="000000" w:themeColor="text1"/>
        </w:rPr>
        <w:t xml:space="preserve"> interest in socio-ecological systems, including those along the coast, has grown, so has the body of research around critical frameworks to assess those systems. Rather than limiting the coast to a barrier between land and water, it is important to acknowledge and analyze it as a zone with interwoven relationships increasing the system's complexity (Van </w:t>
      </w:r>
      <w:proofErr w:type="spellStart"/>
      <w:r w:rsidR="00310031" w:rsidRPr="00310031">
        <w:rPr>
          <w:color w:val="000000" w:themeColor="text1"/>
        </w:rPr>
        <w:t>Assche</w:t>
      </w:r>
      <w:proofErr w:type="spellEnd"/>
      <w:r w:rsidR="00310031" w:rsidRPr="00310031">
        <w:rPr>
          <w:color w:val="000000" w:themeColor="text1"/>
        </w:rPr>
        <w:t xml:space="preserve"> et al., 2020). Several different environmental governance theories are available to analyze governance frameworks. A synthesis study identified eight theories applicable to coastal systems: polycentricity, network governance, multilevel governance, collective action, governmentality, adaptive governance, interactive governance theory, and evolutionary governance theory (</w:t>
      </w:r>
      <w:proofErr w:type="spellStart"/>
      <w:r w:rsidR="00310031" w:rsidRPr="00310031">
        <w:rPr>
          <w:color w:val="000000" w:themeColor="text1"/>
        </w:rPr>
        <w:t>Partelow</w:t>
      </w:r>
      <w:proofErr w:type="spellEnd"/>
      <w:r w:rsidR="00310031" w:rsidRPr="00310031">
        <w:rPr>
          <w:color w:val="000000" w:themeColor="text1"/>
        </w:rPr>
        <w:t xml:space="preserve"> et al., 2020). While there will never be a single theory of environmental governance because each has benefits and drawbacks, depending on the context being studied, specific theories are more relevant than others (Gonçalves and </w:t>
      </w:r>
      <w:proofErr w:type="spellStart"/>
      <w:r w:rsidR="00310031" w:rsidRPr="00310031">
        <w:rPr>
          <w:color w:val="000000" w:themeColor="text1"/>
        </w:rPr>
        <w:t>Pinho</w:t>
      </w:r>
      <w:proofErr w:type="spellEnd"/>
      <w:r w:rsidR="00310031" w:rsidRPr="00310031">
        <w:rPr>
          <w:color w:val="000000" w:themeColor="text1"/>
        </w:rPr>
        <w:t>, 2022). This paper will focus on adaptive governance or the "analysis of the links between context, change, and resilience" (</w:t>
      </w:r>
      <w:proofErr w:type="spellStart"/>
      <w:r w:rsidR="00310031" w:rsidRPr="00310031">
        <w:rPr>
          <w:color w:val="000000" w:themeColor="text1"/>
        </w:rPr>
        <w:t>Partelow</w:t>
      </w:r>
      <w:proofErr w:type="spellEnd"/>
      <w:r w:rsidR="00310031" w:rsidRPr="00310031">
        <w:rPr>
          <w:color w:val="000000" w:themeColor="text1"/>
        </w:rPr>
        <w:t xml:space="preserve"> et al., 2020:1). Emerging in the late 1990s, the concept of adaptive governance has been labelled as a "vehicle for putting </w:t>
      </w:r>
      <w:r w:rsidR="00310031" w:rsidRPr="00310031">
        <w:rPr>
          <w:color w:val="000000" w:themeColor="text1"/>
        </w:rPr>
        <w:lastRenderedPageBreak/>
        <w:t>resilience theory into practice" based on the theory that the more adaptive a system is to change, the more resilient it is to current and future threats (</w:t>
      </w:r>
      <w:proofErr w:type="spellStart"/>
      <w:r w:rsidR="00310031" w:rsidRPr="00310031">
        <w:rPr>
          <w:color w:val="000000" w:themeColor="text1"/>
        </w:rPr>
        <w:t>Partelow</w:t>
      </w:r>
      <w:proofErr w:type="spellEnd"/>
      <w:r w:rsidR="00310031" w:rsidRPr="00310031">
        <w:rPr>
          <w:color w:val="000000" w:themeColor="text1"/>
        </w:rPr>
        <w:t xml:space="preserve"> et al., 2020:8). </w:t>
      </w:r>
    </w:p>
    <w:p w14:paraId="39503929" w14:textId="169D249D" w:rsidR="00310031" w:rsidRPr="00310031" w:rsidRDefault="00310031" w:rsidP="00310031">
      <w:pPr>
        <w:pStyle w:val="NormalWeb"/>
        <w:spacing w:after="158" w:line="480" w:lineRule="auto"/>
        <w:ind w:firstLine="504"/>
        <w:rPr>
          <w:color w:val="000000" w:themeColor="text1"/>
        </w:rPr>
      </w:pPr>
      <w:r w:rsidRPr="00310031">
        <w:rPr>
          <w:color w:val="000000" w:themeColor="text1"/>
        </w:rPr>
        <w:t>Throughout human history, many have chosen to settle in areas of high biological productivity, and the settlement of coastal areas has been no exception to this trend. As areas of high levels of socio-ecological change, adaptive governance offers a framework to help study coastal areas that allows the researcher to test the ability of the existing governance structure to allow the socio-ecological system to "absorb both natural and human disturbance and maintain structure and function" (Chaffin et al., 2014). The concept is particularly well-attuned to analyzing coastal systems because it emphasizes the importance of collaboration between actors and the overall capacity of a "governance system to adapt to new […] system conditions (</w:t>
      </w:r>
      <w:proofErr w:type="spellStart"/>
      <w:r w:rsidRPr="00310031">
        <w:rPr>
          <w:color w:val="000000" w:themeColor="text1"/>
        </w:rPr>
        <w:t>Partelow</w:t>
      </w:r>
      <w:proofErr w:type="spellEnd"/>
      <w:r w:rsidRPr="00310031">
        <w:rPr>
          <w:color w:val="000000" w:themeColor="text1"/>
        </w:rPr>
        <w:t xml:space="preserve"> et al., 2020:9).</w:t>
      </w:r>
    </w:p>
    <w:p w14:paraId="21CB93B6" w14:textId="2BC99FE9" w:rsidR="003B0DC2" w:rsidRPr="005B3A28" w:rsidRDefault="00310031" w:rsidP="00310031">
      <w:pPr>
        <w:pStyle w:val="NormalWeb"/>
        <w:spacing w:before="0" w:beforeAutospacing="0" w:after="158" w:afterAutospacing="0" w:line="480" w:lineRule="auto"/>
        <w:ind w:firstLine="504"/>
        <w:rPr>
          <w:color w:val="000000" w:themeColor="text1"/>
        </w:rPr>
      </w:pPr>
      <w:r w:rsidRPr="00310031">
        <w:rPr>
          <w:color w:val="000000" w:themeColor="text1"/>
        </w:rPr>
        <w:t>In the case of the Fraser River Estuary, the concept of adaptive governance is well suited to assess how well the current governance system is addressing the current context of the site's needs, both for the migratory shorebirds and coastal resilience.</w:t>
      </w:r>
    </w:p>
    <w:p w14:paraId="6BDF37A7" w14:textId="77777777" w:rsidR="003B0DC2" w:rsidRDefault="003B0DC2" w:rsidP="000C53BC">
      <w:pPr>
        <w:pStyle w:val="Heading3"/>
        <w:spacing w:line="480" w:lineRule="auto"/>
      </w:pPr>
      <w:bookmarkStart w:id="20" w:name="_Toc133020838"/>
      <w:r>
        <w:t>Evaluating Coastal Resilience Planning from Co-benefits Perspective</w:t>
      </w:r>
      <w:bookmarkEnd w:id="20"/>
    </w:p>
    <w:p w14:paraId="1AE49A5B" w14:textId="6C34CEDA" w:rsidR="00310031" w:rsidRPr="00310031" w:rsidRDefault="00310031" w:rsidP="00310031">
      <w:pPr>
        <w:spacing w:line="480" w:lineRule="auto"/>
        <w:rPr>
          <w:color w:val="000000" w:themeColor="text1"/>
        </w:rPr>
      </w:pPr>
      <w:r w:rsidRPr="00310031">
        <w:rPr>
          <w:color w:val="000000" w:themeColor="text1"/>
        </w:rPr>
        <w:t xml:space="preserve">As outlined earlier, different definitions of coastal resilience have translated into different methods of evaluating coastal resilience in existing literature (Powell et al., 2019). At a higher level, the following challenges for coastal resilience have been identified: political recognition of coastal zones as socio-ecological systems, governance systems must address interactions between land and water meaningfully, and there must be policy integration and coordination between actors (Van </w:t>
      </w:r>
      <w:proofErr w:type="spellStart"/>
      <w:r w:rsidRPr="00310031">
        <w:rPr>
          <w:color w:val="000000" w:themeColor="text1"/>
        </w:rPr>
        <w:t>Assche</w:t>
      </w:r>
      <w:proofErr w:type="spellEnd"/>
      <w:r w:rsidRPr="00310031">
        <w:rPr>
          <w:color w:val="000000" w:themeColor="text1"/>
        </w:rPr>
        <w:t xml:space="preserve">, 2020). This paper will examine how those challenges in the context of the Fraser River Estuary impact its ecological resilience, as discussed above (Powell et al., 2018; </w:t>
      </w:r>
      <w:proofErr w:type="spellStart"/>
      <w:r w:rsidRPr="00310031">
        <w:rPr>
          <w:color w:val="000000" w:themeColor="text1"/>
        </w:rPr>
        <w:t>Masselink</w:t>
      </w:r>
      <w:proofErr w:type="spellEnd"/>
      <w:r w:rsidRPr="00310031">
        <w:rPr>
          <w:color w:val="000000" w:themeColor="text1"/>
        </w:rPr>
        <w:t xml:space="preserve"> and Lazarus, 2019).</w:t>
      </w:r>
      <w:r>
        <w:rPr>
          <w:color w:val="000000" w:themeColor="text1"/>
        </w:rPr>
        <w:t xml:space="preserve"> </w:t>
      </w:r>
      <w:r w:rsidRPr="00310031">
        <w:rPr>
          <w:color w:val="000000" w:themeColor="text1"/>
        </w:rPr>
        <w:t>This approach focuses on maintaining the relationships in a system rather than a specific state (</w:t>
      </w:r>
      <w:proofErr w:type="spellStart"/>
      <w:r w:rsidRPr="00310031">
        <w:rPr>
          <w:color w:val="000000" w:themeColor="text1"/>
        </w:rPr>
        <w:t>Masselink</w:t>
      </w:r>
      <w:proofErr w:type="spellEnd"/>
      <w:r w:rsidRPr="00310031">
        <w:rPr>
          <w:color w:val="000000" w:themeColor="text1"/>
        </w:rPr>
        <w:t xml:space="preserve"> and Lazarus, 2019). </w:t>
      </w:r>
    </w:p>
    <w:p w14:paraId="203062D5" w14:textId="4F024FBA" w:rsidR="003B0DC2" w:rsidRPr="005B3A28" w:rsidRDefault="00310031" w:rsidP="00310031">
      <w:pPr>
        <w:spacing w:line="480" w:lineRule="auto"/>
        <w:rPr>
          <w:color w:val="000000" w:themeColor="text1"/>
        </w:rPr>
      </w:pPr>
      <w:r w:rsidRPr="00310031">
        <w:rPr>
          <w:color w:val="000000" w:themeColor="text1"/>
        </w:rPr>
        <w:lastRenderedPageBreak/>
        <w:t>In managing uncertainty to increase system resilience to change, ecosystem management is gaining traction in coastal zones (</w:t>
      </w:r>
      <w:proofErr w:type="spellStart"/>
      <w:r w:rsidRPr="00310031">
        <w:rPr>
          <w:color w:val="000000" w:themeColor="text1"/>
        </w:rPr>
        <w:t>Mckinley</w:t>
      </w:r>
      <w:proofErr w:type="spellEnd"/>
      <w:r w:rsidRPr="00310031">
        <w:rPr>
          <w:color w:val="000000" w:themeColor="text1"/>
        </w:rPr>
        <w:t xml:space="preserve"> et al., 2018; Pittman and Armitage, 2016). However, given how common the concept of ecosystem-based adaptation of nature-based solutions (</w:t>
      </w:r>
      <w:proofErr w:type="spellStart"/>
      <w:r w:rsidRPr="00310031">
        <w:rPr>
          <w:color w:val="000000" w:themeColor="text1"/>
        </w:rPr>
        <w:t>NbS</w:t>
      </w:r>
      <w:proofErr w:type="spellEnd"/>
      <w:r w:rsidRPr="00310031">
        <w:rPr>
          <w:color w:val="000000" w:themeColor="text1"/>
        </w:rPr>
        <w:t xml:space="preserve">) has become in this arena, it is vital to understand how the concept can become meaningful in the biodiversity space. </w:t>
      </w:r>
      <w:proofErr w:type="gramStart"/>
      <w:r w:rsidRPr="00310031">
        <w:rPr>
          <w:color w:val="000000" w:themeColor="text1"/>
        </w:rPr>
        <w:t>In particular, there</w:t>
      </w:r>
      <w:proofErr w:type="gramEnd"/>
      <w:r w:rsidRPr="00310031">
        <w:rPr>
          <w:color w:val="000000" w:themeColor="text1"/>
        </w:rPr>
        <w:t xml:space="preserve"> is a gap in research around the effectiveness of </w:t>
      </w:r>
      <w:proofErr w:type="spellStart"/>
      <w:r w:rsidRPr="00310031">
        <w:rPr>
          <w:color w:val="000000" w:themeColor="text1"/>
        </w:rPr>
        <w:t>NbS</w:t>
      </w:r>
      <w:proofErr w:type="spellEnd"/>
      <w:r w:rsidRPr="00310031">
        <w:rPr>
          <w:color w:val="000000" w:themeColor="text1"/>
        </w:rPr>
        <w:t xml:space="preserve"> in delivering biodiversity benefits (Seddon et al., 2020). A primary motivation for investment in </w:t>
      </w:r>
      <w:proofErr w:type="spellStart"/>
      <w:r w:rsidRPr="00310031">
        <w:rPr>
          <w:color w:val="000000" w:themeColor="text1"/>
        </w:rPr>
        <w:t>NbS</w:t>
      </w:r>
      <w:proofErr w:type="spellEnd"/>
      <w:r w:rsidRPr="00310031">
        <w:rPr>
          <w:color w:val="000000" w:themeColor="text1"/>
        </w:rPr>
        <w:t xml:space="preserve"> is the concept of co-benefits (</w:t>
      </w:r>
      <w:proofErr w:type="spellStart"/>
      <w:r w:rsidRPr="00310031">
        <w:rPr>
          <w:color w:val="000000" w:themeColor="text1"/>
        </w:rPr>
        <w:t>Moraes</w:t>
      </w:r>
      <w:proofErr w:type="spellEnd"/>
      <w:r w:rsidRPr="00310031">
        <w:rPr>
          <w:color w:val="000000" w:themeColor="text1"/>
        </w:rPr>
        <w:t xml:space="preserve"> et al., 2022). In coastal resilience, shorebird conservation would be considered a biodiversity co-benefit (</w:t>
      </w:r>
      <w:proofErr w:type="spellStart"/>
      <w:r w:rsidRPr="00310031">
        <w:rPr>
          <w:color w:val="000000" w:themeColor="text1"/>
        </w:rPr>
        <w:t>Moraes</w:t>
      </w:r>
      <w:proofErr w:type="spellEnd"/>
      <w:r w:rsidRPr="00310031">
        <w:rPr>
          <w:color w:val="000000" w:themeColor="text1"/>
        </w:rPr>
        <w:t xml:space="preserve"> et al., 2022; Jones et </w:t>
      </w:r>
      <w:proofErr w:type="spellStart"/>
      <w:r w:rsidRPr="00310031">
        <w:rPr>
          <w:color w:val="000000" w:themeColor="text1"/>
        </w:rPr>
        <w:t>Doberstein</w:t>
      </w:r>
      <w:proofErr w:type="spellEnd"/>
      <w:r w:rsidRPr="00310031">
        <w:rPr>
          <w:color w:val="000000" w:themeColor="text1"/>
        </w:rPr>
        <w:t xml:space="preserve">, 2022). In the case of migratory shorebirds, it is crucial to fully understand how </w:t>
      </w:r>
      <w:proofErr w:type="spellStart"/>
      <w:r w:rsidRPr="00310031">
        <w:rPr>
          <w:color w:val="000000" w:themeColor="text1"/>
        </w:rPr>
        <w:t>NbS</w:t>
      </w:r>
      <w:proofErr w:type="spellEnd"/>
      <w:r w:rsidRPr="00310031">
        <w:rPr>
          <w:color w:val="000000" w:themeColor="text1"/>
        </w:rPr>
        <w:t xml:space="preserve"> can be best implemented to provide full conservation benefits (Gauthier et al., 2021).</w:t>
      </w:r>
    </w:p>
    <w:p w14:paraId="7B4C4870" w14:textId="51D14815" w:rsidR="003B0DC2" w:rsidRDefault="003B0DC2" w:rsidP="000C53BC">
      <w:pPr>
        <w:spacing w:line="480" w:lineRule="auto"/>
        <w:rPr>
          <w:color w:val="000000" w:themeColor="text1"/>
        </w:rPr>
      </w:pPr>
      <w:r w:rsidRPr="005B3A28">
        <w:rPr>
          <w:color w:val="000000" w:themeColor="text1"/>
        </w:rPr>
        <w:t xml:space="preserve">In a </w:t>
      </w:r>
      <w:r w:rsidR="00310031" w:rsidRPr="00310031">
        <w:rPr>
          <w:color w:val="000000" w:themeColor="text1"/>
        </w:rPr>
        <w:t>notable case study examining coastal planning in Portugal, researchers identified a need for advancing adaptive coastal governance to a place where scientific knowledge and comprehensive, collaborative institutions enable better identification of shared goals with an ultimate target of proactive preparedness (Schmidt et al., 2013). The governance of the Fraser River Estuary needs to move towards a similar target. Given that migratory shorebirds have similar needs to humans regarding the conservation and protection of the Estuary and ecological integrity, there is a need to examine how the coastal governance planning for the Fraser River Estuary accounts for a resilient future. As a proxy for biodiversity outcomes embedded into a project for broader biological co-benefits, an improved understanding of how shorebirds fit into the existing coastal governance system in the Estuary could prove a powerful tool in providing guidance.</w:t>
      </w:r>
    </w:p>
    <w:p w14:paraId="199D59CC" w14:textId="4DAA1359" w:rsidR="003B0DC2" w:rsidRPr="00DB731A" w:rsidRDefault="003B0DC2" w:rsidP="00DB731A">
      <w:pPr>
        <w:pStyle w:val="Body"/>
        <w:spacing w:line="480" w:lineRule="auto"/>
        <w:ind w:firstLine="504"/>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pPr>
      <w:r w:rsidRPr="005B48A9">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In</w:t>
      </w:r>
      <w:r w:rsidR="00310031" w:rsidRPr="00310031">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 the case of the Fraser River Estuary, the approach of adaptive governance is well suited to support an assessment of how well the current governance system is addressing the current context of the site's needs, both for the migratory shorebirds and coastal resilience. Eight key elements of adaptive governance have been identified (Sharma-Wallace et al., 2018). These </w:t>
      </w:r>
      <w:r w:rsidR="00310031" w:rsidRPr="00310031">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lastRenderedPageBreak/>
        <w:t>elements (as outlined in Table 1) are complemented by indicators that identify how the evaluation can be undertaken to ascertain the governance system's capacity for adaptive governance.</w:t>
      </w:r>
    </w:p>
    <w:tbl>
      <w:tblPr>
        <w:tblW w:w="94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97"/>
        <w:gridCol w:w="7120"/>
      </w:tblGrid>
      <w:tr w:rsidR="003B0DC2" w:rsidRPr="005B48A9" w14:paraId="405B547F" w14:textId="77777777" w:rsidTr="00DB731A">
        <w:trPr>
          <w:trHeight w:val="557"/>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8AA706" w14:textId="77777777" w:rsidR="003B0DC2" w:rsidRPr="005B48A9" w:rsidRDefault="003B0DC2" w:rsidP="000C53BC">
            <w:pPr>
              <w:pStyle w:val="Body"/>
              <w:spacing w:line="480" w:lineRule="auto"/>
              <w:rPr>
                <w:rFonts w:ascii="Times" w:hAnsi="Times"/>
                <w:b/>
                <w:bCs/>
                <w:sz w:val="22"/>
                <w:szCs w:val="22"/>
              </w:rPr>
            </w:pPr>
            <w:r w:rsidRPr="005B48A9">
              <w:rPr>
                <w:rFonts w:ascii="Times" w:hAnsi="Times"/>
                <w:b/>
                <w:bCs/>
                <w:sz w:val="22"/>
                <w:szCs w:val="22"/>
                <w:lang w:val="fr-FR"/>
              </w:rPr>
              <w:t xml:space="preserve">Adaptive </w:t>
            </w:r>
            <w:proofErr w:type="spellStart"/>
            <w:r w:rsidRPr="005B48A9">
              <w:rPr>
                <w:rFonts w:ascii="Times" w:hAnsi="Times"/>
                <w:b/>
                <w:bCs/>
                <w:sz w:val="22"/>
                <w:szCs w:val="22"/>
                <w:lang w:val="fr-FR"/>
              </w:rPr>
              <w:t>Governance</w:t>
            </w:r>
            <w:proofErr w:type="spellEnd"/>
            <w:r w:rsidRPr="005B48A9">
              <w:rPr>
                <w:rFonts w:ascii="Times" w:hAnsi="Times"/>
                <w:b/>
                <w:bCs/>
                <w:sz w:val="22"/>
                <w:szCs w:val="22"/>
                <w:lang w:val="fr-FR"/>
              </w:rPr>
              <w:t xml:space="preserve"> </w:t>
            </w:r>
            <w:proofErr w:type="spellStart"/>
            <w:r w:rsidRPr="005B48A9">
              <w:rPr>
                <w:rFonts w:ascii="Times" w:hAnsi="Times"/>
                <w:b/>
                <w:bCs/>
                <w:sz w:val="22"/>
                <w:szCs w:val="22"/>
                <w:lang w:val="fr-FR"/>
              </w:rPr>
              <w:t>Element</w:t>
            </w:r>
            <w:proofErr w:type="spellEnd"/>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3668B3" w14:textId="77777777" w:rsidR="003B0DC2" w:rsidRPr="005B48A9" w:rsidRDefault="003B0DC2" w:rsidP="000C53BC">
            <w:pPr>
              <w:pStyle w:val="Body"/>
              <w:spacing w:line="480" w:lineRule="auto"/>
              <w:rPr>
                <w:rFonts w:ascii="Times" w:hAnsi="Times"/>
                <w:b/>
                <w:bCs/>
                <w:sz w:val="22"/>
                <w:szCs w:val="22"/>
              </w:rPr>
            </w:pPr>
            <w:proofErr w:type="spellStart"/>
            <w:r w:rsidRPr="005B48A9">
              <w:rPr>
                <w:rFonts w:ascii="Times" w:hAnsi="Times"/>
                <w:b/>
                <w:bCs/>
                <w:sz w:val="22"/>
                <w:szCs w:val="22"/>
                <w:lang w:val="fr-FR"/>
              </w:rPr>
              <w:t>Element</w:t>
            </w:r>
            <w:proofErr w:type="spellEnd"/>
            <w:r w:rsidRPr="005B48A9">
              <w:rPr>
                <w:rFonts w:ascii="Times" w:hAnsi="Times"/>
                <w:b/>
                <w:bCs/>
                <w:sz w:val="22"/>
                <w:szCs w:val="22"/>
                <w:lang w:val="fr-FR"/>
              </w:rPr>
              <w:t xml:space="preserve"> </w:t>
            </w:r>
            <w:proofErr w:type="spellStart"/>
            <w:r w:rsidRPr="005B48A9">
              <w:rPr>
                <w:rFonts w:ascii="Times" w:hAnsi="Times"/>
                <w:b/>
                <w:bCs/>
                <w:sz w:val="22"/>
                <w:szCs w:val="22"/>
                <w:lang w:val="fr-FR"/>
              </w:rPr>
              <w:t>Indicators</w:t>
            </w:r>
            <w:proofErr w:type="spellEnd"/>
          </w:p>
        </w:tc>
      </w:tr>
      <w:tr w:rsidR="003B0DC2" w:rsidRPr="005B48A9" w14:paraId="3C2D46F2" w14:textId="77777777" w:rsidTr="00DB731A">
        <w:trPr>
          <w:trHeight w:val="12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C57231"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lang w:val="fr-FR"/>
              </w:rPr>
              <w:t>Collaboration</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BA8469" w14:textId="77777777" w:rsidR="003B0DC2" w:rsidRPr="005B48A9" w:rsidRDefault="003B0DC2" w:rsidP="000C53BC">
            <w:pPr>
              <w:pStyle w:val="ListParagraph"/>
              <w:numPr>
                <w:ilvl w:val="0"/>
                <w:numId w:val="42"/>
              </w:numPr>
              <w:spacing w:line="480" w:lineRule="auto"/>
              <w:rPr>
                <w:rFonts w:ascii="Times" w:hAnsi="Times"/>
                <w:sz w:val="22"/>
                <w:szCs w:val="22"/>
              </w:rPr>
            </w:pPr>
            <w:r w:rsidRPr="005B48A9">
              <w:rPr>
                <w:rFonts w:ascii="Times" w:hAnsi="Times"/>
                <w:sz w:val="22"/>
                <w:szCs w:val="22"/>
              </w:rPr>
              <w:t xml:space="preserve">Meaningful interaction across scales with different actors </w:t>
            </w:r>
            <w:proofErr w:type="gramStart"/>
            <w:r w:rsidRPr="005B48A9">
              <w:rPr>
                <w:rFonts w:ascii="Times" w:hAnsi="Times"/>
                <w:sz w:val="22"/>
                <w:szCs w:val="22"/>
              </w:rPr>
              <w:t>involved</w:t>
            </w:r>
            <w:proofErr w:type="gramEnd"/>
          </w:p>
          <w:p w14:paraId="35769C58" w14:textId="77777777" w:rsidR="003B0DC2" w:rsidRPr="005B48A9" w:rsidRDefault="003B0DC2" w:rsidP="000C53BC">
            <w:pPr>
              <w:pStyle w:val="ListParagraph"/>
              <w:numPr>
                <w:ilvl w:val="0"/>
                <w:numId w:val="42"/>
              </w:numPr>
              <w:spacing w:line="480" w:lineRule="auto"/>
              <w:rPr>
                <w:rFonts w:ascii="Times" w:hAnsi="Times"/>
                <w:sz w:val="22"/>
                <w:szCs w:val="22"/>
              </w:rPr>
            </w:pPr>
            <w:r w:rsidRPr="005B48A9">
              <w:rPr>
                <w:rFonts w:ascii="Times" w:hAnsi="Times"/>
                <w:sz w:val="22"/>
                <w:szCs w:val="22"/>
              </w:rPr>
              <w:t xml:space="preserve">Diversity and range of stakeholders </w:t>
            </w:r>
            <w:proofErr w:type="gramStart"/>
            <w:r w:rsidRPr="005B48A9">
              <w:rPr>
                <w:rFonts w:ascii="Times" w:hAnsi="Times"/>
                <w:sz w:val="22"/>
                <w:szCs w:val="22"/>
              </w:rPr>
              <w:t>involved</w:t>
            </w:r>
            <w:proofErr w:type="gramEnd"/>
          </w:p>
          <w:p w14:paraId="22589A89" w14:textId="77777777" w:rsidR="003B0DC2" w:rsidRPr="005B48A9" w:rsidRDefault="003B0DC2" w:rsidP="000C53BC">
            <w:pPr>
              <w:pStyle w:val="ListParagraph"/>
              <w:numPr>
                <w:ilvl w:val="0"/>
                <w:numId w:val="42"/>
              </w:numPr>
              <w:spacing w:line="480" w:lineRule="auto"/>
              <w:rPr>
                <w:rFonts w:ascii="Times" w:hAnsi="Times"/>
                <w:sz w:val="22"/>
                <w:szCs w:val="22"/>
              </w:rPr>
            </w:pPr>
            <w:r w:rsidRPr="005B48A9">
              <w:rPr>
                <w:rFonts w:ascii="Times" w:hAnsi="Times"/>
                <w:sz w:val="22"/>
                <w:szCs w:val="22"/>
              </w:rPr>
              <w:t>Informal and formal opportunities</w:t>
            </w:r>
          </w:p>
        </w:tc>
      </w:tr>
      <w:tr w:rsidR="003B0DC2" w:rsidRPr="005B48A9" w14:paraId="7F4B27B2" w14:textId="77777777" w:rsidTr="00DB731A">
        <w:trPr>
          <w:trHeight w:val="9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78F33"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lang w:val="fr-FR"/>
              </w:rPr>
              <w:t>Coordination</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D76D6" w14:textId="77777777" w:rsidR="003B0DC2" w:rsidRPr="005B48A9" w:rsidRDefault="003B0DC2" w:rsidP="000C53BC">
            <w:pPr>
              <w:pStyle w:val="ListParagraph"/>
              <w:numPr>
                <w:ilvl w:val="0"/>
                <w:numId w:val="43"/>
              </w:numPr>
              <w:spacing w:line="480" w:lineRule="auto"/>
              <w:rPr>
                <w:rFonts w:ascii="Times" w:hAnsi="Times"/>
                <w:sz w:val="22"/>
                <w:szCs w:val="22"/>
              </w:rPr>
            </w:pPr>
            <w:r w:rsidRPr="005B48A9">
              <w:rPr>
                <w:rFonts w:ascii="Times" w:hAnsi="Times"/>
                <w:sz w:val="22"/>
                <w:szCs w:val="22"/>
              </w:rPr>
              <w:t xml:space="preserve">Opportunities to bring together actors across geographical and issue </w:t>
            </w:r>
            <w:proofErr w:type="gramStart"/>
            <w:r w:rsidRPr="005B48A9">
              <w:rPr>
                <w:rFonts w:ascii="Times" w:hAnsi="Times"/>
                <w:sz w:val="22"/>
                <w:szCs w:val="22"/>
              </w:rPr>
              <w:t>scales</w:t>
            </w:r>
            <w:proofErr w:type="gramEnd"/>
          </w:p>
          <w:p w14:paraId="7894CB60" w14:textId="77777777" w:rsidR="003B0DC2" w:rsidRPr="005B48A9" w:rsidRDefault="003B0DC2" w:rsidP="000C53BC">
            <w:pPr>
              <w:pStyle w:val="ListParagraph"/>
              <w:numPr>
                <w:ilvl w:val="0"/>
                <w:numId w:val="43"/>
              </w:numPr>
              <w:spacing w:line="480" w:lineRule="auto"/>
              <w:rPr>
                <w:rFonts w:ascii="Times" w:hAnsi="Times"/>
                <w:sz w:val="22"/>
                <w:szCs w:val="22"/>
              </w:rPr>
            </w:pPr>
            <w:r w:rsidRPr="005B48A9">
              <w:rPr>
                <w:rFonts w:ascii="Times" w:hAnsi="Times"/>
                <w:sz w:val="22"/>
                <w:szCs w:val="22"/>
              </w:rPr>
              <w:t>Presence of an established body to coordinate actors</w:t>
            </w:r>
          </w:p>
        </w:tc>
      </w:tr>
      <w:tr w:rsidR="003B0DC2" w:rsidRPr="005B48A9" w14:paraId="59DF5B76" w14:textId="77777777" w:rsidTr="00DB731A">
        <w:trPr>
          <w:trHeight w:val="6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3EC164"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lang w:val="fr-FR"/>
              </w:rPr>
              <w:t>Social Capital</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8DD831" w14:textId="77777777" w:rsidR="003B0DC2" w:rsidRPr="005B48A9" w:rsidRDefault="003B0DC2" w:rsidP="000C53BC">
            <w:pPr>
              <w:pStyle w:val="ListParagraph"/>
              <w:numPr>
                <w:ilvl w:val="0"/>
                <w:numId w:val="44"/>
              </w:numPr>
              <w:spacing w:line="480" w:lineRule="auto"/>
              <w:rPr>
                <w:rFonts w:ascii="Times" w:hAnsi="Times"/>
                <w:sz w:val="22"/>
                <w:szCs w:val="22"/>
              </w:rPr>
            </w:pPr>
            <w:r w:rsidRPr="005B48A9">
              <w:rPr>
                <w:rFonts w:ascii="Times" w:hAnsi="Times"/>
                <w:sz w:val="22"/>
                <w:szCs w:val="22"/>
              </w:rPr>
              <w:t xml:space="preserve">Base level of trust, familiarity, and goodwill between actors. </w:t>
            </w:r>
          </w:p>
          <w:p w14:paraId="5FABB8DA" w14:textId="77777777" w:rsidR="003B0DC2" w:rsidRPr="005B48A9" w:rsidRDefault="003B0DC2" w:rsidP="000C53BC">
            <w:pPr>
              <w:pStyle w:val="ListParagraph"/>
              <w:numPr>
                <w:ilvl w:val="0"/>
                <w:numId w:val="44"/>
              </w:numPr>
              <w:spacing w:line="480" w:lineRule="auto"/>
              <w:rPr>
                <w:rFonts w:ascii="Times" w:hAnsi="Times"/>
                <w:sz w:val="22"/>
                <w:szCs w:val="22"/>
              </w:rPr>
            </w:pPr>
            <w:r w:rsidRPr="005B48A9">
              <w:rPr>
                <w:rFonts w:ascii="Times" w:hAnsi="Times"/>
                <w:sz w:val="22"/>
                <w:szCs w:val="22"/>
              </w:rPr>
              <w:t xml:space="preserve">Length and history of relationships </w:t>
            </w:r>
          </w:p>
        </w:tc>
      </w:tr>
      <w:tr w:rsidR="003B0DC2" w:rsidRPr="005B48A9" w14:paraId="508C374C" w14:textId="77777777" w:rsidTr="00DB731A">
        <w:trPr>
          <w:trHeight w:val="12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B4E6C" w14:textId="77777777" w:rsidR="00DB731A" w:rsidRDefault="003B0DC2" w:rsidP="000C53BC">
            <w:pPr>
              <w:pStyle w:val="Body"/>
              <w:spacing w:line="480" w:lineRule="auto"/>
              <w:rPr>
                <w:rFonts w:ascii="Times" w:hAnsi="Times"/>
                <w:sz w:val="22"/>
                <w:szCs w:val="22"/>
                <w:lang w:val="fr-FR"/>
              </w:rPr>
            </w:pPr>
            <w:r w:rsidRPr="005B48A9">
              <w:rPr>
                <w:rFonts w:ascii="Times" w:hAnsi="Times"/>
                <w:sz w:val="22"/>
                <w:szCs w:val="22"/>
                <w:lang w:val="fr-FR"/>
              </w:rPr>
              <w:t xml:space="preserve">Community </w:t>
            </w:r>
          </w:p>
          <w:p w14:paraId="68C496A8" w14:textId="1437F629" w:rsidR="003B0DC2" w:rsidRPr="005B48A9" w:rsidRDefault="003B0DC2" w:rsidP="000C53BC">
            <w:pPr>
              <w:pStyle w:val="Body"/>
              <w:spacing w:line="480" w:lineRule="auto"/>
              <w:rPr>
                <w:rFonts w:ascii="Times" w:hAnsi="Times"/>
                <w:sz w:val="22"/>
                <w:szCs w:val="22"/>
              </w:rPr>
            </w:pPr>
            <w:proofErr w:type="spellStart"/>
            <w:r w:rsidRPr="005B48A9">
              <w:rPr>
                <w:rFonts w:ascii="Times" w:hAnsi="Times"/>
                <w:sz w:val="22"/>
                <w:szCs w:val="22"/>
                <w:lang w:val="fr-FR"/>
              </w:rPr>
              <w:t>Empowerment</w:t>
            </w:r>
            <w:proofErr w:type="spellEnd"/>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D48E3C" w14:textId="77777777" w:rsidR="003B0DC2" w:rsidRPr="005B48A9" w:rsidRDefault="003B0DC2" w:rsidP="000C53BC">
            <w:pPr>
              <w:pStyle w:val="ListParagraph"/>
              <w:numPr>
                <w:ilvl w:val="0"/>
                <w:numId w:val="45"/>
              </w:numPr>
              <w:spacing w:line="480" w:lineRule="auto"/>
              <w:rPr>
                <w:rFonts w:ascii="Times" w:hAnsi="Times"/>
                <w:sz w:val="22"/>
                <w:szCs w:val="22"/>
              </w:rPr>
            </w:pPr>
            <w:r w:rsidRPr="005B48A9">
              <w:rPr>
                <w:rFonts w:ascii="Times" w:hAnsi="Times"/>
                <w:sz w:val="22"/>
                <w:szCs w:val="22"/>
              </w:rPr>
              <w:t>How is the local community empowered to play an active role in the governance of the Estuary?</w:t>
            </w:r>
          </w:p>
          <w:p w14:paraId="6D618084" w14:textId="77777777" w:rsidR="003B0DC2" w:rsidRPr="005B48A9" w:rsidRDefault="003B0DC2" w:rsidP="000C53BC">
            <w:pPr>
              <w:pStyle w:val="ListParagraph"/>
              <w:numPr>
                <w:ilvl w:val="0"/>
                <w:numId w:val="45"/>
              </w:numPr>
              <w:spacing w:line="480" w:lineRule="auto"/>
              <w:rPr>
                <w:rFonts w:ascii="Times" w:hAnsi="Times"/>
                <w:sz w:val="22"/>
                <w:szCs w:val="22"/>
              </w:rPr>
            </w:pPr>
            <w:r w:rsidRPr="005B48A9">
              <w:rPr>
                <w:rFonts w:ascii="Times" w:hAnsi="Times"/>
                <w:sz w:val="22"/>
                <w:szCs w:val="22"/>
              </w:rPr>
              <w:t>When is the local community engaged in activities related to the governance of the Estuary (</w:t>
            </w:r>
            <w:proofErr w:type="spellStart"/>
            <w:proofErr w:type="gramStart"/>
            <w:r w:rsidRPr="005B48A9">
              <w:rPr>
                <w:rFonts w:ascii="Times" w:hAnsi="Times"/>
                <w:sz w:val="22"/>
                <w:szCs w:val="22"/>
              </w:rPr>
              <w:t>i</w:t>
            </w:r>
            <w:proofErr w:type="spellEnd"/>
            <w:r w:rsidRPr="005B48A9">
              <w:rPr>
                <w:rFonts w:ascii="Times" w:hAnsi="Times"/>
                <w:sz w:val="22"/>
                <w:szCs w:val="22"/>
                <w:lang w:val="en-CA"/>
              </w:rPr>
              <w:t>.</w:t>
            </w:r>
            <w:r w:rsidRPr="005B48A9">
              <w:rPr>
                <w:rFonts w:ascii="Times" w:hAnsi="Times"/>
                <w:sz w:val="22"/>
                <w:szCs w:val="22"/>
              </w:rPr>
              <w:t>e.</w:t>
            </w:r>
            <w:proofErr w:type="gramEnd"/>
            <w:r w:rsidRPr="005B48A9">
              <w:rPr>
                <w:rFonts w:ascii="Times" w:hAnsi="Times"/>
                <w:sz w:val="22"/>
                <w:szCs w:val="22"/>
              </w:rPr>
              <w:t xml:space="preserve"> </w:t>
            </w:r>
            <w:r w:rsidRPr="005B48A9">
              <w:rPr>
                <w:rFonts w:ascii="Times" w:hAnsi="Times"/>
                <w:sz w:val="22"/>
                <w:szCs w:val="22"/>
                <w:lang w:val="en-CA"/>
              </w:rPr>
              <w:t>a</w:t>
            </w:r>
            <w:r w:rsidRPr="005B48A9">
              <w:rPr>
                <w:rFonts w:ascii="Times" w:hAnsi="Times"/>
                <w:sz w:val="22"/>
                <w:szCs w:val="22"/>
              </w:rPr>
              <w:t>t what stages of a project)?</w:t>
            </w:r>
          </w:p>
        </w:tc>
      </w:tr>
      <w:tr w:rsidR="003B0DC2" w:rsidRPr="005B48A9" w14:paraId="601EA5BC" w14:textId="77777777" w:rsidTr="00DB731A">
        <w:trPr>
          <w:trHeight w:val="9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323574"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rPr>
              <w:t>Capacity Development</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396A9F" w14:textId="77777777" w:rsidR="003B0DC2" w:rsidRPr="005B48A9" w:rsidRDefault="003B0DC2" w:rsidP="000C53BC">
            <w:pPr>
              <w:pStyle w:val="ListParagraph"/>
              <w:numPr>
                <w:ilvl w:val="0"/>
                <w:numId w:val="46"/>
              </w:numPr>
              <w:spacing w:line="480" w:lineRule="auto"/>
              <w:rPr>
                <w:rFonts w:ascii="Times" w:hAnsi="Times"/>
                <w:sz w:val="22"/>
                <w:szCs w:val="22"/>
              </w:rPr>
            </w:pPr>
            <w:r w:rsidRPr="005B48A9">
              <w:rPr>
                <w:rFonts w:ascii="Times" w:hAnsi="Times"/>
                <w:sz w:val="22"/>
                <w:szCs w:val="22"/>
              </w:rPr>
              <w:t xml:space="preserve">Knowledge, resources, and scope for action to sustain governance </w:t>
            </w:r>
            <w:proofErr w:type="gramStart"/>
            <w:r w:rsidRPr="005B48A9">
              <w:rPr>
                <w:rFonts w:ascii="Times" w:hAnsi="Times"/>
                <w:sz w:val="22"/>
                <w:szCs w:val="22"/>
              </w:rPr>
              <w:t>activities</w:t>
            </w:r>
            <w:proofErr w:type="gramEnd"/>
          </w:p>
          <w:p w14:paraId="50BC3A8A" w14:textId="77777777" w:rsidR="003B0DC2" w:rsidRPr="005B48A9" w:rsidRDefault="003B0DC2" w:rsidP="000C53BC">
            <w:pPr>
              <w:pStyle w:val="ListParagraph"/>
              <w:numPr>
                <w:ilvl w:val="0"/>
                <w:numId w:val="46"/>
              </w:numPr>
              <w:spacing w:line="480" w:lineRule="auto"/>
              <w:rPr>
                <w:rFonts w:ascii="Times" w:hAnsi="Times"/>
                <w:sz w:val="22"/>
                <w:szCs w:val="22"/>
              </w:rPr>
            </w:pPr>
            <w:r w:rsidRPr="005B48A9">
              <w:rPr>
                <w:rFonts w:ascii="Times" w:hAnsi="Times"/>
                <w:sz w:val="22"/>
                <w:szCs w:val="22"/>
              </w:rPr>
              <w:t>Social learning opportunities within and between institutions</w:t>
            </w:r>
          </w:p>
        </w:tc>
      </w:tr>
      <w:tr w:rsidR="003B0DC2" w:rsidRPr="005B48A9" w14:paraId="0D8746EB" w14:textId="77777777" w:rsidTr="00DB731A">
        <w:trPr>
          <w:trHeight w:val="9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902D4"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rPr>
              <w:t>Link between knowledge and decision-making</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7E3736" w14:textId="77777777" w:rsidR="003B0DC2" w:rsidRPr="005B48A9" w:rsidRDefault="003B0DC2" w:rsidP="000C53BC">
            <w:pPr>
              <w:pStyle w:val="ListParagraph"/>
              <w:numPr>
                <w:ilvl w:val="0"/>
                <w:numId w:val="47"/>
              </w:numPr>
              <w:spacing w:line="480" w:lineRule="auto"/>
              <w:rPr>
                <w:rFonts w:ascii="Times" w:hAnsi="Times"/>
                <w:sz w:val="22"/>
                <w:szCs w:val="22"/>
              </w:rPr>
            </w:pPr>
            <w:r w:rsidRPr="005B48A9">
              <w:rPr>
                <w:rFonts w:ascii="Times" w:hAnsi="Times"/>
                <w:sz w:val="22"/>
                <w:szCs w:val="22"/>
              </w:rPr>
              <w:t>Relationships between local researchers and decision-making bodies</w:t>
            </w:r>
          </w:p>
          <w:p w14:paraId="3918F54C" w14:textId="77777777" w:rsidR="003B0DC2" w:rsidRPr="005B48A9" w:rsidRDefault="003B0DC2" w:rsidP="000C53BC">
            <w:pPr>
              <w:pStyle w:val="ListParagraph"/>
              <w:numPr>
                <w:ilvl w:val="0"/>
                <w:numId w:val="47"/>
              </w:numPr>
              <w:spacing w:line="480" w:lineRule="auto"/>
              <w:rPr>
                <w:rFonts w:ascii="Times" w:hAnsi="Times"/>
                <w:sz w:val="22"/>
                <w:szCs w:val="22"/>
              </w:rPr>
            </w:pPr>
            <w:r w:rsidRPr="005B48A9">
              <w:rPr>
                <w:rFonts w:ascii="Times" w:hAnsi="Times"/>
                <w:sz w:val="22"/>
                <w:szCs w:val="22"/>
              </w:rPr>
              <w:t>Ability of emerging research to be integrated into governance</w:t>
            </w:r>
          </w:p>
        </w:tc>
      </w:tr>
      <w:tr w:rsidR="003B0DC2" w:rsidRPr="005B48A9" w14:paraId="4FBAC1E6" w14:textId="77777777" w:rsidTr="00DB731A">
        <w:trPr>
          <w:trHeight w:val="133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864D7"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rPr>
              <w:lastRenderedPageBreak/>
              <w:t>Leadership</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139D0" w14:textId="77777777" w:rsidR="003B0DC2" w:rsidRPr="005B48A9" w:rsidRDefault="003B0DC2" w:rsidP="000C53BC">
            <w:pPr>
              <w:pStyle w:val="ListParagraph"/>
              <w:numPr>
                <w:ilvl w:val="0"/>
                <w:numId w:val="48"/>
              </w:numPr>
              <w:spacing w:line="480" w:lineRule="auto"/>
              <w:rPr>
                <w:rFonts w:ascii="Times" w:hAnsi="Times"/>
                <w:sz w:val="22"/>
                <w:szCs w:val="22"/>
              </w:rPr>
            </w:pPr>
            <w:r w:rsidRPr="005B48A9">
              <w:rPr>
                <w:rFonts w:ascii="Times" w:hAnsi="Times"/>
                <w:sz w:val="22"/>
                <w:szCs w:val="22"/>
              </w:rPr>
              <w:t xml:space="preserve">Examples of leadership in the community </w:t>
            </w:r>
          </w:p>
          <w:p w14:paraId="1413B2C3" w14:textId="77777777" w:rsidR="003B0DC2" w:rsidRPr="005B48A9" w:rsidRDefault="003B0DC2" w:rsidP="000C53BC">
            <w:pPr>
              <w:pStyle w:val="ListParagraph"/>
              <w:numPr>
                <w:ilvl w:val="0"/>
                <w:numId w:val="48"/>
              </w:numPr>
              <w:spacing w:line="480" w:lineRule="auto"/>
              <w:rPr>
                <w:rFonts w:ascii="Times" w:hAnsi="Times"/>
                <w:sz w:val="22"/>
                <w:szCs w:val="22"/>
              </w:rPr>
            </w:pPr>
            <w:r w:rsidRPr="005B48A9">
              <w:rPr>
                <w:rFonts w:ascii="Times" w:hAnsi="Times"/>
                <w:sz w:val="22"/>
                <w:szCs w:val="22"/>
              </w:rPr>
              <w:t xml:space="preserve">When collaboration and coordination </w:t>
            </w:r>
            <w:proofErr w:type="gramStart"/>
            <w:r w:rsidRPr="005B48A9">
              <w:rPr>
                <w:rFonts w:ascii="Times" w:hAnsi="Times"/>
                <w:sz w:val="22"/>
                <w:szCs w:val="22"/>
              </w:rPr>
              <w:t>occurs</w:t>
            </w:r>
            <w:proofErr w:type="gramEnd"/>
            <w:r w:rsidRPr="005B48A9">
              <w:rPr>
                <w:rFonts w:ascii="Times" w:hAnsi="Times"/>
                <w:sz w:val="22"/>
                <w:szCs w:val="22"/>
              </w:rPr>
              <w:t>, who is spearheading it</w:t>
            </w:r>
            <w:r w:rsidRPr="005B48A9">
              <w:rPr>
                <w:rFonts w:ascii="Times" w:hAnsi="Times"/>
                <w:sz w:val="22"/>
                <w:szCs w:val="22"/>
                <w:lang w:val="en-CA"/>
              </w:rPr>
              <w:t>?</w:t>
            </w:r>
          </w:p>
          <w:p w14:paraId="52BDA048" w14:textId="77777777" w:rsidR="003B0DC2" w:rsidRPr="005B48A9" w:rsidRDefault="003B0DC2" w:rsidP="000C53BC">
            <w:pPr>
              <w:pStyle w:val="ListParagraph"/>
              <w:numPr>
                <w:ilvl w:val="0"/>
                <w:numId w:val="49"/>
              </w:numPr>
              <w:spacing w:line="480" w:lineRule="auto"/>
              <w:rPr>
                <w:rFonts w:ascii="Times" w:hAnsi="Times"/>
                <w:sz w:val="22"/>
                <w:szCs w:val="22"/>
              </w:rPr>
            </w:pPr>
            <w:r w:rsidRPr="005B48A9">
              <w:rPr>
                <w:rFonts w:ascii="Times" w:hAnsi="Times"/>
                <w:sz w:val="22"/>
                <w:szCs w:val="22"/>
              </w:rPr>
              <w:t>Presence of strong, determined leadership</w:t>
            </w:r>
          </w:p>
        </w:tc>
      </w:tr>
      <w:tr w:rsidR="003B0DC2" w:rsidRPr="005B48A9" w14:paraId="70C681E7" w14:textId="77777777" w:rsidTr="00DB731A">
        <w:trPr>
          <w:trHeight w:val="600"/>
        </w:trPr>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D62EE" w14:textId="77777777" w:rsidR="003B0DC2" w:rsidRPr="005B48A9" w:rsidRDefault="003B0DC2" w:rsidP="000C53BC">
            <w:pPr>
              <w:pStyle w:val="Body"/>
              <w:spacing w:line="480" w:lineRule="auto"/>
              <w:rPr>
                <w:rFonts w:ascii="Times" w:hAnsi="Times"/>
                <w:sz w:val="22"/>
                <w:szCs w:val="22"/>
              </w:rPr>
            </w:pPr>
            <w:r w:rsidRPr="005B48A9">
              <w:rPr>
                <w:rFonts w:ascii="Times" w:hAnsi="Times"/>
                <w:sz w:val="22"/>
                <w:szCs w:val="22"/>
              </w:rPr>
              <w:t xml:space="preserve">Governance Opportunities </w:t>
            </w:r>
          </w:p>
        </w:tc>
        <w:tc>
          <w:tcPr>
            <w:tcW w:w="7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91E26" w14:textId="77777777" w:rsidR="003B0DC2" w:rsidRPr="005B48A9" w:rsidRDefault="003B0DC2" w:rsidP="000C53BC">
            <w:pPr>
              <w:pStyle w:val="ListParagraph"/>
              <w:numPr>
                <w:ilvl w:val="0"/>
                <w:numId w:val="50"/>
              </w:numPr>
              <w:spacing w:line="480" w:lineRule="auto"/>
              <w:rPr>
                <w:rFonts w:ascii="Times" w:hAnsi="Times"/>
                <w:sz w:val="22"/>
                <w:szCs w:val="22"/>
              </w:rPr>
            </w:pPr>
            <w:r w:rsidRPr="005B48A9">
              <w:rPr>
                <w:rFonts w:ascii="Times" w:hAnsi="Times"/>
                <w:sz w:val="22"/>
                <w:szCs w:val="22"/>
              </w:rPr>
              <w:t>Preparedness of actors for windows of opportunity to initiate adaptive governance</w:t>
            </w:r>
          </w:p>
        </w:tc>
      </w:tr>
    </w:tbl>
    <w:p w14:paraId="0A725C8E" w14:textId="77777777" w:rsidR="003B0DC2" w:rsidRPr="006A62DF" w:rsidRDefault="003B0DC2" w:rsidP="000C53BC">
      <w:pPr>
        <w:pStyle w:val="Body"/>
        <w:widowControl w:val="0"/>
        <w:spacing w:line="480" w:lineRule="auto"/>
        <w:rPr>
          <w:rFonts w:ascii="Times" w:eastAsia="Times New Roman" w:hAnsi="Times" w:cs="Times New Roman"/>
          <w:sz w:val="22"/>
          <w:szCs w:val="22"/>
        </w:rPr>
      </w:pPr>
    </w:p>
    <w:p w14:paraId="60555AC6" w14:textId="629F239C" w:rsidR="003B0DC2" w:rsidRPr="006A62DF" w:rsidRDefault="003B0DC2" w:rsidP="000C53BC">
      <w:pPr>
        <w:pStyle w:val="Body"/>
        <w:spacing w:line="480" w:lineRule="auto"/>
        <w:rPr>
          <w:rFonts w:ascii="Times" w:eastAsia="Times New Roman" w:hAnsi="Times" w:cs="Times New Roman"/>
          <w:sz w:val="22"/>
          <w:szCs w:val="22"/>
        </w:rPr>
      </w:pPr>
      <w:r w:rsidRPr="006A62DF">
        <w:rPr>
          <w:rFonts w:ascii="Times" w:hAnsi="Times"/>
          <w:sz w:val="22"/>
          <w:szCs w:val="22"/>
          <w:lang w:val="en-CA"/>
        </w:rPr>
        <w:t>Table 1: Adaptive Governance Elements</w:t>
      </w:r>
      <w:r w:rsidR="002A0BA7">
        <w:rPr>
          <w:rFonts w:ascii="Times" w:hAnsi="Times"/>
          <w:sz w:val="22"/>
          <w:szCs w:val="22"/>
          <w:lang w:val="en-CA"/>
        </w:rPr>
        <w:t>. Adapted from</w:t>
      </w:r>
      <w:r w:rsidRPr="006A62DF">
        <w:rPr>
          <w:rFonts w:ascii="Times" w:hAnsi="Times"/>
          <w:sz w:val="22"/>
          <w:szCs w:val="22"/>
          <w:lang w:val="en-CA"/>
        </w:rPr>
        <w:t xml:space="preserve"> Sharma-Wallace et al., 2018. </w:t>
      </w:r>
    </w:p>
    <w:p w14:paraId="26E6E9ED" w14:textId="77777777" w:rsidR="0013133A" w:rsidRPr="002F3418" w:rsidRDefault="0013133A" w:rsidP="000C53BC">
      <w:pPr>
        <w:pStyle w:val="NormalNI"/>
        <w:spacing w:line="480" w:lineRule="auto"/>
      </w:pPr>
    </w:p>
    <w:p w14:paraId="25832F80" w14:textId="39CD8651" w:rsidR="0013133A" w:rsidRDefault="0013133A" w:rsidP="000C53BC">
      <w:pPr>
        <w:pStyle w:val="Heading1"/>
        <w:numPr>
          <w:ilvl w:val="0"/>
          <w:numId w:val="36"/>
        </w:numPr>
        <w:spacing w:line="480" w:lineRule="auto"/>
      </w:pPr>
      <w:bookmarkStart w:id="21" w:name="_Toc133020839"/>
      <w:r>
        <w:lastRenderedPageBreak/>
        <w:t xml:space="preserve">Chapter </w:t>
      </w:r>
      <w:r w:rsidR="003B1A74">
        <w:t>3</w:t>
      </w:r>
      <w:r>
        <w:br/>
      </w:r>
      <w:r>
        <w:br/>
      </w:r>
      <w:r w:rsidR="005D71B4">
        <w:t>Methods</w:t>
      </w:r>
      <w:bookmarkEnd w:id="21"/>
    </w:p>
    <w:p w14:paraId="1CCFC6FC" w14:textId="5A2F8DD7" w:rsidR="00DC0D95" w:rsidRDefault="00DC0D95" w:rsidP="000C53BC">
      <w:pPr>
        <w:pStyle w:val="Heading2"/>
        <w:spacing w:line="480" w:lineRule="auto"/>
      </w:pPr>
      <w:bookmarkStart w:id="22" w:name="_Toc127290929"/>
      <w:r>
        <w:t xml:space="preserve"> </w:t>
      </w:r>
      <w:bookmarkStart w:id="23" w:name="_Toc133020840"/>
      <w:bookmarkEnd w:id="22"/>
      <w:r>
        <w:t>Introduction</w:t>
      </w:r>
      <w:bookmarkEnd w:id="23"/>
    </w:p>
    <w:p w14:paraId="6A117042" w14:textId="1360AB1F" w:rsidR="00DC0D95" w:rsidRDefault="00B41CE9" w:rsidP="005D5C47">
      <w:pPr>
        <w:pStyle w:val="Body"/>
        <w:spacing w:line="480" w:lineRule="auto"/>
        <w:ind w:firstLine="576"/>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pPr>
      <w:r w:rsidRPr="00B41CE9">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The analysis of the capacity for adaptive governance of the Fraser River Estuary was grounded through an evaluative framework based on the principles established by the adaptive governance theory. Among the theories applicable to the coastal context, adaptive governance theory presents a series of elements that assist in discerning how responsive the governance landscape is to change. This paper uses a case study approach to provide an in-depth understanding of the specific case or bounded system (Creswell et Creswell, 2018; King et al., 1994). By grounding the bounded system with an evaluative framework, the case study can offer a broader contribution to the body of literature in advancing the understanding of similar governance situations (Creswell et al., 2016). Qualitative data on the Fraser River Estuary governance system and the application of the adaptive governance evaluative framework will be gathered through a series of semi-structured interviews with experts. In addition, participatory research was conducted through attendance at the fifth International Marine Protected Area Conference (IMPAC5) hosted in Vancouver, British Columbia, in February 2023.</w:t>
      </w:r>
    </w:p>
    <w:p w14:paraId="41C6DDC0" w14:textId="771BE52A" w:rsidR="00EA1DED" w:rsidRPr="00EA1DED" w:rsidRDefault="00EA1DED" w:rsidP="000C53BC">
      <w:pPr>
        <w:pStyle w:val="Heading2"/>
        <w:spacing w:line="480" w:lineRule="auto"/>
      </w:pPr>
      <w:bookmarkStart w:id="24" w:name="_Toc133020841"/>
      <w:r>
        <w:t>Methods</w:t>
      </w:r>
      <w:bookmarkEnd w:id="24"/>
    </w:p>
    <w:p w14:paraId="3A0C9574" w14:textId="77777777" w:rsidR="00DC0D95" w:rsidRPr="00A51349" w:rsidRDefault="00DC0D95" w:rsidP="000C53BC">
      <w:pPr>
        <w:pStyle w:val="Heading3"/>
        <w:spacing w:line="480" w:lineRule="auto"/>
      </w:pPr>
      <w:bookmarkStart w:id="25" w:name="_Toc133020842"/>
      <w:r>
        <w:t>Study Area</w:t>
      </w:r>
      <w:bookmarkEnd w:id="25"/>
    </w:p>
    <w:p w14:paraId="6887262C" w14:textId="288BDFC0" w:rsidR="004249B9" w:rsidRPr="005D5C47" w:rsidRDefault="00156E7B" w:rsidP="005D5C47">
      <w:pPr>
        <w:pStyle w:val="NormalNI"/>
        <w:spacing w:line="480" w:lineRule="auto"/>
        <w:ind w:firstLine="720"/>
        <w:rPr>
          <w:color w:val="000000" w:themeColor="text1"/>
        </w:rPr>
      </w:pPr>
      <w:r w:rsidRPr="00156E7B">
        <w:rPr>
          <w:color w:val="000000" w:themeColor="text1"/>
        </w:rPr>
        <w:t xml:space="preserve">In the Lower Mainland, the entire Fraser River Delta, including the estuary, has an 885 km2 footprint and is divided into three habitats: floodplain, tidal flat and estuarine (Butler et al., 2021). Given that this study focuses on the governance of the estuary as it relates to the needs of </w:t>
      </w:r>
      <w:r w:rsidRPr="00156E7B">
        <w:rPr>
          <w:color w:val="000000" w:themeColor="text1"/>
        </w:rPr>
        <w:lastRenderedPageBreak/>
        <w:t>the local communities for coastal reliance and the needs of shorebirds, the study area is limited to the intertidal portion on which the shorebirds rely (as seen in Figure 1). This area also includes eelgrass beds and salt marshes, which are essential in fostering greater coastal resilience (Butler et al., 2021). Regarding the actors involved in the governance of the estuary, the sampling was limited to those identified by other literature on the Fraser River Estuary's governance (Kehoe et al., 2020).</w:t>
      </w:r>
    </w:p>
    <w:p w14:paraId="7A19E321" w14:textId="52B09A76" w:rsidR="00DC0D95" w:rsidRDefault="00DC0D95" w:rsidP="000C53BC">
      <w:pPr>
        <w:pStyle w:val="Heading3"/>
        <w:spacing w:line="480" w:lineRule="auto"/>
      </w:pPr>
      <w:bookmarkStart w:id="26" w:name="_Toc133020843"/>
      <w:r>
        <w:t>Case Study Approach</w:t>
      </w:r>
      <w:bookmarkEnd w:id="26"/>
      <w:r>
        <w:t xml:space="preserve"> </w:t>
      </w:r>
    </w:p>
    <w:p w14:paraId="4E2B63F2" w14:textId="60D70AF6" w:rsidR="00DC0D95" w:rsidRDefault="00156E7B" w:rsidP="005D5C47">
      <w:pPr>
        <w:pStyle w:val="Body"/>
        <w:spacing w:line="480" w:lineRule="auto"/>
        <w:ind w:firstLine="720"/>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pPr>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Among the various established qualitative research designs, the case study approach offers the unique opportunity to create an in-depth account of a bounded system, which fulfills the objectives of this study (Stake, 1995). In other words, "[c]</w:t>
      </w:r>
      <w:proofErr w:type="spellStart"/>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ase</w:t>
      </w:r>
      <w:proofErr w:type="spellEnd"/>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 study is an in-depth exploration from multiple perspectives of the complexity and uniqueness of a particular project, policy, institution, or system in a "real-life" context" (Simons, 2009:21). Given the complex array of partners involved in the governance of the Fraser River Estuary, the case study offers a valuable basis to understand the governance system's vulnerability in the face of current and future challenges for coastal resiliency and shorebird conservation with an in-depth account and analysis of the Fraser River Estuary as a bounded system. Through an emphasis on experiential and practical ways of knowing, the case study approach allows for the testing of how the adaptive governance theory can provide a framework for understanding the responsiveness of the governance system to change and challenge (Simmons, 2020).</w:t>
      </w:r>
      <w:r w:rsidR="00DC0D95">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 </w:t>
      </w:r>
    </w:p>
    <w:p w14:paraId="71A61799" w14:textId="77777777" w:rsidR="00DC0D95" w:rsidRDefault="00DC0D95" w:rsidP="000C53BC">
      <w:pPr>
        <w:pStyle w:val="Heading3"/>
        <w:spacing w:line="480" w:lineRule="auto"/>
      </w:pPr>
      <w:bookmarkStart w:id="27" w:name="_Toc133020844"/>
      <w:r>
        <w:t>Adaptive Governance Theory</w:t>
      </w:r>
      <w:bookmarkEnd w:id="27"/>
    </w:p>
    <w:p w14:paraId="4E000D41" w14:textId="2ABB0CAA" w:rsidR="00DC0D95" w:rsidRPr="005D5C47" w:rsidRDefault="00156E7B" w:rsidP="005D5C47">
      <w:pPr>
        <w:pStyle w:val="Body"/>
        <w:spacing w:line="480" w:lineRule="auto"/>
        <w:ind w:firstLine="720"/>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pPr>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Given the context of the Fraser River Estuary, the choice of an adaptive governance framework was logical to help provide a theoretical basis to assess the responsiveness of the governance system to change and challenge. The framework analysis approach offers the benefit of being flexible to adapt to the qualitative data set from the interviews (Creswell et al., 2016). </w:t>
      </w:r>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lastRenderedPageBreak/>
        <w:t xml:space="preserve">Drawing from a review paper (Sharma-Wallace et al., 2018) on applying adaptive governance in case studies, the framework will focus on eight elements of adaptive governance as criteria for the framework (as outlined in Table 1). An example of how the evaluative framework will inform the interview questions is outlined in Table 2. </w:t>
      </w:r>
      <w:r w:rsidR="00DC0D95" w:rsidRPr="00B938CA">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 </w:t>
      </w:r>
    </w:p>
    <w:tbl>
      <w:tblPr>
        <w:tblW w:w="86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56"/>
        <w:gridCol w:w="3718"/>
        <w:gridCol w:w="1134"/>
        <w:gridCol w:w="2268"/>
      </w:tblGrid>
      <w:tr w:rsidR="00DC0D95" w:rsidRPr="00E70BB5" w14:paraId="49118535" w14:textId="77777777" w:rsidTr="00386717">
        <w:trPr>
          <w:trHeight w:val="557"/>
        </w:trPr>
        <w:tc>
          <w:tcPr>
            <w:tcW w:w="1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095312" w14:textId="77777777" w:rsidR="00DC0D95" w:rsidRPr="00E70BB5" w:rsidRDefault="00DC0D95" w:rsidP="000C53BC">
            <w:pPr>
              <w:pStyle w:val="Body"/>
              <w:spacing w:line="480" w:lineRule="auto"/>
              <w:rPr>
                <w:rFonts w:ascii="Times" w:hAnsi="Times"/>
                <w:sz w:val="22"/>
                <w:szCs w:val="22"/>
              </w:rPr>
            </w:pPr>
            <w:r w:rsidRPr="00E70BB5">
              <w:rPr>
                <w:rFonts w:ascii="Times" w:hAnsi="Times"/>
                <w:b/>
                <w:bCs/>
                <w:sz w:val="22"/>
                <w:szCs w:val="22"/>
              </w:rPr>
              <w:t>Element Indicator</w:t>
            </w:r>
          </w:p>
        </w:tc>
        <w:tc>
          <w:tcPr>
            <w:tcW w:w="3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C4DF49" w14:textId="77777777" w:rsidR="00DC0D95" w:rsidRPr="00E70BB5" w:rsidRDefault="00DC0D95" w:rsidP="000C53BC">
            <w:pPr>
              <w:pStyle w:val="Body"/>
              <w:spacing w:line="480" w:lineRule="auto"/>
              <w:rPr>
                <w:rFonts w:ascii="Times" w:hAnsi="Times"/>
                <w:sz w:val="22"/>
                <w:szCs w:val="22"/>
              </w:rPr>
            </w:pPr>
            <w:r w:rsidRPr="00E70BB5">
              <w:rPr>
                <w:rFonts w:ascii="Times" w:hAnsi="Times"/>
                <w:b/>
                <w:bCs/>
                <w:sz w:val="22"/>
                <w:szCs w:val="22"/>
              </w:rPr>
              <w:t>Example Indicator Questions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6D633" w14:textId="77777777" w:rsidR="00DC0D95" w:rsidRPr="00E70BB5" w:rsidRDefault="00DC0D95" w:rsidP="000C53BC">
            <w:pPr>
              <w:pStyle w:val="Body"/>
              <w:spacing w:line="480" w:lineRule="auto"/>
              <w:rPr>
                <w:rFonts w:ascii="Times" w:hAnsi="Times"/>
                <w:sz w:val="22"/>
                <w:szCs w:val="22"/>
              </w:rPr>
            </w:pPr>
            <w:r w:rsidRPr="00E70BB5">
              <w:rPr>
                <w:rFonts w:ascii="Times" w:hAnsi="Times"/>
                <w:b/>
                <w:bCs/>
                <w:sz w:val="22"/>
                <w:szCs w:val="22"/>
              </w:rPr>
              <w:t>Data Sources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444D6" w14:textId="77777777" w:rsidR="00DC0D95" w:rsidRPr="00E70BB5" w:rsidRDefault="00DC0D95" w:rsidP="000C53BC">
            <w:pPr>
              <w:pStyle w:val="Body"/>
              <w:spacing w:line="480" w:lineRule="auto"/>
              <w:rPr>
                <w:rFonts w:ascii="Times" w:hAnsi="Times"/>
                <w:sz w:val="22"/>
                <w:szCs w:val="22"/>
              </w:rPr>
            </w:pPr>
            <w:r w:rsidRPr="00E70BB5">
              <w:rPr>
                <w:rFonts w:ascii="Times" w:hAnsi="Times"/>
                <w:b/>
                <w:bCs/>
                <w:sz w:val="22"/>
                <w:szCs w:val="22"/>
              </w:rPr>
              <w:t>Data Collected</w:t>
            </w:r>
          </w:p>
        </w:tc>
      </w:tr>
      <w:tr w:rsidR="00DC0D95" w:rsidRPr="00E70BB5" w14:paraId="33881EE2" w14:textId="77777777" w:rsidTr="00386717">
        <w:trPr>
          <w:trHeight w:val="1757"/>
        </w:trPr>
        <w:tc>
          <w:tcPr>
            <w:tcW w:w="1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01653" w14:textId="77777777" w:rsidR="00DC0D95" w:rsidRPr="00E70BB5" w:rsidRDefault="00DC0D95" w:rsidP="000C53BC">
            <w:pPr>
              <w:pStyle w:val="Body"/>
              <w:spacing w:line="480" w:lineRule="auto"/>
              <w:rPr>
                <w:rFonts w:ascii="Times" w:hAnsi="Times"/>
                <w:sz w:val="22"/>
                <w:szCs w:val="22"/>
              </w:rPr>
            </w:pPr>
            <w:r w:rsidRPr="00E70BB5">
              <w:rPr>
                <w:rFonts w:ascii="Times" w:hAnsi="Times"/>
                <w:sz w:val="22"/>
                <w:szCs w:val="22"/>
                <w:lang w:val="fr-FR"/>
              </w:rPr>
              <w:t>Collaboration</w:t>
            </w:r>
          </w:p>
        </w:tc>
        <w:tc>
          <w:tcPr>
            <w:tcW w:w="37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D5405A" w14:textId="77777777" w:rsidR="00DC0D95" w:rsidRPr="00F15310" w:rsidRDefault="00DC0D95" w:rsidP="000C53BC">
            <w:pPr>
              <w:spacing w:line="480" w:lineRule="auto"/>
              <w:rPr>
                <w:rFonts w:ascii="Times" w:eastAsia="Arial Unicode MS" w:hAnsi="Times" w:cs="Arial Unicode MS"/>
                <w:color w:val="000000"/>
                <w:u w:color="000000"/>
                <w:bdr w:val="nil"/>
                <w:lang w:val="en-CA"/>
                <w14:textOutline w14:w="0" w14:cap="flat" w14:cmpd="sng" w14:algn="ctr">
                  <w14:noFill/>
                  <w14:prstDash w14:val="solid"/>
                  <w14:bevel/>
                </w14:textOutline>
              </w:rPr>
            </w:pPr>
            <w:r w:rsidRPr="00F15310">
              <w:rPr>
                <w:rFonts w:ascii="Times" w:eastAsia="Arial Unicode MS" w:hAnsi="Times" w:cs="Arial Unicode MS"/>
                <w:color w:val="000000"/>
                <w:u w:color="000000"/>
                <w:bdr w:val="nil"/>
                <w:lang w:val="en-CA"/>
                <w14:textOutline w14:w="0" w14:cap="flat" w14:cmpd="sng" w14:algn="ctr">
                  <w14:noFill/>
                  <w14:prstDash w14:val="solid"/>
                  <w14:bevel/>
                </w14:textOutline>
              </w:rPr>
              <w:t>How does collaboration work in this area, positive and negative, effective, or not. Could you tell me about your experiences? What experiences of collaboration have you had with other actors involved in the governance of the Fraser River Estuary?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127A24" w14:textId="77777777" w:rsidR="00DC0D95" w:rsidRPr="00E70BB5" w:rsidRDefault="00DC0D95" w:rsidP="000C53BC">
            <w:pPr>
              <w:pStyle w:val="Body"/>
              <w:spacing w:line="480" w:lineRule="auto"/>
              <w:rPr>
                <w:rFonts w:ascii="Times" w:hAnsi="Times"/>
                <w:sz w:val="22"/>
                <w:szCs w:val="22"/>
              </w:rPr>
            </w:pPr>
            <w:r w:rsidRPr="00E70BB5">
              <w:rPr>
                <w:rFonts w:ascii="Times" w:hAnsi="Times"/>
                <w:sz w:val="22"/>
                <w:szCs w:val="22"/>
              </w:rPr>
              <w:t xml:space="preserve">Interviews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46874" w14:textId="77777777" w:rsidR="00DC0D95" w:rsidRPr="00E70BB5" w:rsidRDefault="00DC0D95" w:rsidP="000C53BC">
            <w:pPr>
              <w:pStyle w:val="Body"/>
              <w:spacing w:line="480" w:lineRule="auto"/>
              <w:rPr>
                <w:rFonts w:ascii="Times" w:hAnsi="Times"/>
                <w:sz w:val="22"/>
                <w:szCs w:val="22"/>
              </w:rPr>
            </w:pPr>
            <w:r w:rsidRPr="00E70BB5">
              <w:rPr>
                <w:rFonts w:ascii="Times" w:hAnsi="Times"/>
                <w:sz w:val="22"/>
                <w:szCs w:val="22"/>
              </w:rPr>
              <w:t xml:space="preserve">Record of meaningful interactions </w:t>
            </w:r>
            <w:r w:rsidRPr="00E70BB5">
              <w:rPr>
                <w:rFonts w:ascii="Times" w:hAnsi="Times"/>
                <w:sz w:val="22"/>
                <w:szCs w:val="22"/>
                <w:lang w:val="en-CA"/>
              </w:rPr>
              <w:t xml:space="preserve">as </w:t>
            </w:r>
            <w:r w:rsidRPr="00E70BB5">
              <w:rPr>
                <w:rFonts w:ascii="Times" w:hAnsi="Times"/>
                <w:sz w:val="22"/>
                <w:szCs w:val="22"/>
              </w:rPr>
              <w:t>identified by interviewees</w:t>
            </w:r>
          </w:p>
        </w:tc>
      </w:tr>
    </w:tbl>
    <w:p w14:paraId="08158E82" w14:textId="77777777" w:rsidR="00DC0D95" w:rsidRPr="00BC6495" w:rsidRDefault="00DC0D95" w:rsidP="000C53BC">
      <w:pPr>
        <w:pStyle w:val="Body"/>
        <w:widowControl w:val="0"/>
        <w:spacing w:line="480" w:lineRule="auto"/>
        <w:rPr>
          <w:rFonts w:ascii="Times" w:eastAsia="Times New Roman" w:hAnsi="Times" w:cs="Times New Roman"/>
          <w:b/>
          <w:bCs/>
          <w:sz w:val="22"/>
          <w:szCs w:val="22"/>
        </w:rPr>
      </w:pPr>
    </w:p>
    <w:p w14:paraId="738E469E" w14:textId="7E780896" w:rsidR="00DC0D95" w:rsidRPr="00BC6495" w:rsidRDefault="00DC0D95" w:rsidP="000C53BC">
      <w:pPr>
        <w:pStyle w:val="Body"/>
        <w:spacing w:line="480" w:lineRule="auto"/>
        <w:rPr>
          <w:rFonts w:ascii="Times" w:eastAsia="Times New Roman" w:hAnsi="Times" w:cs="Times New Roman"/>
          <w:b/>
          <w:bCs/>
          <w:sz w:val="22"/>
          <w:szCs w:val="22"/>
        </w:rPr>
      </w:pPr>
      <w:r w:rsidRPr="00BC6495">
        <w:rPr>
          <w:rFonts w:ascii="Times" w:hAnsi="Times"/>
          <w:b/>
          <w:bCs/>
          <w:sz w:val="22"/>
          <w:szCs w:val="22"/>
        </w:rPr>
        <w:t>Table 2: Extract from evaluative framework used for assessing the elements of adaptive governance.</w:t>
      </w:r>
      <w:r w:rsidRPr="00BC6495">
        <w:rPr>
          <w:rFonts w:ascii="Times" w:hAnsi="Times"/>
          <w:b/>
          <w:bCs/>
          <w:sz w:val="22"/>
          <w:szCs w:val="22"/>
          <w:lang w:val="en-CA"/>
        </w:rPr>
        <w:t xml:space="preserve"> </w:t>
      </w:r>
    </w:p>
    <w:p w14:paraId="34380F8A" w14:textId="36CFC5C6" w:rsidR="00DC0D95" w:rsidRPr="00B938CA" w:rsidRDefault="00156E7B" w:rsidP="00BC6495">
      <w:pPr>
        <w:pStyle w:val="Body"/>
        <w:spacing w:line="480" w:lineRule="auto"/>
        <w:ind w:firstLine="720"/>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pPr>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Through a theory-led case, this study began with a basis in the adaptive governance theory being tested through the case. Framing the case with adaptive governance theory helps provide a relevant basis to help formulate questions for semi-structured interviews to better test the governance system with specific elements demonstrated to indicate better resilience. At the same time, there are </w:t>
      </w:r>
      <w:proofErr w:type="gramStart"/>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particular challenges</w:t>
      </w:r>
      <w:proofErr w:type="gramEnd"/>
      <w:r w:rsidRPr="00156E7B">
        <w:rPr>
          <w:rFonts w:ascii="Times New Roman" w:eastAsia="Times New Roman" w:hAnsi="Times New Roman" w:cs="Times New Roman"/>
          <w:color w:val="000000" w:themeColor="text1"/>
          <w:sz w:val="22"/>
          <w:szCs w:val="22"/>
          <w:bdr w:val="none" w:sz="0" w:space="0" w:color="auto"/>
          <w14:textOutline w14:w="0" w14:cap="rnd" w14:cmpd="sng" w14:algn="ctr">
            <w14:noFill/>
            <w14:prstDash w14:val="solid"/>
            <w14:bevel/>
          </w14:textOutline>
        </w:rPr>
        <w:t xml:space="preserve"> with using a logic model as a framework, including leading to confirmation of only what was anticipated. However, it is frequently adopted when policies or programs are being tested, a similar objective to this study.</w:t>
      </w:r>
    </w:p>
    <w:p w14:paraId="65B8E996" w14:textId="77777777" w:rsidR="00DC0D95" w:rsidRDefault="00DC0D95" w:rsidP="000C53BC">
      <w:pPr>
        <w:pStyle w:val="Heading3"/>
        <w:spacing w:line="480" w:lineRule="auto"/>
      </w:pPr>
      <w:bookmarkStart w:id="28" w:name="_Toc133020845"/>
      <w:r>
        <w:lastRenderedPageBreak/>
        <w:t>Sampling Method</w:t>
      </w:r>
      <w:bookmarkEnd w:id="28"/>
    </w:p>
    <w:p w14:paraId="01E61223" w14:textId="1754F078" w:rsidR="00DC0D95" w:rsidRPr="00C00E9D" w:rsidRDefault="00156E7B" w:rsidP="000C53BC">
      <w:pPr>
        <w:spacing w:line="480" w:lineRule="auto"/>
      </w:pPr>
      <w:r w:rsidRPr="00156E7B">
        <w:t>This study engaged participants through individual, virtual, semi-structured interviews with professionals working on the Fraser River Estuary. The individuals were selected based on the criteria that they had significant professional experience working on the Fraser River Estuary or had significant professional experience working for institutions involved in the governance of the Fraser River Estuary. These participants offered a valuable source of first-hand insights into how the governance landscape functions in practice, with a depth absent from the literature on this topic. Interview participants were identified through professional connections, background research, and internet searches. Additional participants were identified through a snowball sampling technique (</w:t>
      </w:r>
      <w:proofErr w:type="spellStart"/>
      <w:r w:rsidRPr="00156E7B">
        <w:t>Kirchherr</w:t>
      </w:r>
      <w:proofErr w:type="spellEnd"/>
      <w:r w:rsidRPr="00156E7B">
        <w:t xml:space="preserve"> and Charles, 2018; Ruane, 2020). This technique is commonly used to take advantage of social networks to identify interview participants from hard-to-reach populations but has also been used in the context of conflict surrounding sustainable development and the application of adaptive governance to bushfire management (</w:t>
      </w:r>
      <w:proofErr w:type="spellStart"/>
      <w:r w:rsidRPr="00156E7B">
        <w:t>Kirchherr</w:t>
      </w:r>
      <w:proofErr w:type="spellEnd"/>
      <w:r w:rsidRPr="00156E7B">
        <w:t xml:space="preserve"> and Charles, 2018; Ruane, 2020). Given this paper's scope and scale limitations, the snowball method is appropriate to identify a sufficiently diverse group of participants from different backgrounds. The study aimed to interview a small pool of experts on the Fraser River Estuary with professional backgrounds in environmental non-governmental organizations, academia, and different levels of government to the point of saturation. Given the temporal limitations of an undergraduate research project, the goal was to interview ten professionals across all levels of government in addition to other sectors. In total, 11 professionals participated in 9 interviews with representation from all levels of government, spanning a diverse range of mandates relevant to the governance of the estuary</w:t>
      </w:r>
      <w:r w:rsidR="00DC0D95">
        <w:t xml:space="preserve">.  </w:t>
      </w:r>
    </w:p>
    <w:p w14:paraId="725278BE" w14:textId="77777777" w:rsidR="00DC0D95" w:rsidRDefault="00DC0D95" w:rsidP="000C53BC">
      <w:pPr>
        <w:pStyle w:val="Heading3"/>
        <w:spacing w:line="480" w:lineRule="auto"/>
      </w:pPr>
      <w:bookmarkStart w:id="29" w:name="_Toc133020846"/>
      <w:r>
        <w:t>Interview Process</w:t>
      </w:r>
      <w:bookmarkEnd w:id="29"/>
    </w:p>
    <w:p w14:paraId="60EEFB6C" w14:textId="3B7ABF75" w:rsidR="00DC0D95" w:rsidRDefault="00DC0D95" w:rsidP="00BC6495">
      <w:pPr>
        <w:pStyle w:val="Body"/>
        <w:spacing w:line="480" w:lineRule="auto"/>
        <w:ind w:firstLine="720"/>
        <w:rPr>
          <w:rFonts w:ascii="Times" w:hAnsi="Times"/>
          <w:sz w:val="22"/>
          <w:szCs w:val="22"/>
        </w:rPr>
      </w:pPr>
      <w:r w:rsidRPr="00B938CA">
        <w:rPr>
          <w:rFonts w:ascii="Times" w:hAnsi="Times"/>
          <w:sz w:val="22"/>
          <w:szCs w:val="22"/>
        </w:rPr>
        <w:t>The</w:t>
      </w:r>
      <w:r w:rsidR="00156E7B" w:rsidRPr="00156E7B">
        <w:rPr>
          <w:rFonts w:ascii="Times" w:hAnsi="Times"/>
          <w:sz w:val="22"/>
          <w:szCs w:val="22"/>
          <w:lang w:val="en-CA"/>
        </w:rPr>
        <w:t xml:space="preserve"> interviews began with a set of questions based on the participant’s knowledge of the context around the governance of the Fraser River Estuary before continuing with a series of </w:t>
      </w:r>
      <w:r w:rsidR="00156E7B" w:rsidRPr="00156E7B">
        <w:rPr>
          <w:rFonts w:ascii="Times" w:hAnsi="Times"/>
          <w:sz w:val="22"/>
          <w:szCs w:val="22"/>
          <w:lang w:val="en-CA"/>
        </w:rPr>
        <w:lastRenderedPageBreak/>
        <w:t>questions focused on elements of the evaluative framework. A central benefit of interviews is the opportunity to document multiple perspectives. By asking open-ended questions, the interview allowed participants to share their stories and reflect on specific issues within the study. As demonstrated in Table 2, the second series of set questions were structured with the elements of adaptive governance identified above in Table 1. The interviews concluded with follow-up questions on subjects raised during the interview to tailor the interview to each participant best and capture their expertise (Ruane, 2020). The research underwent an ethics assessment to ensure that any potential issues around maintaining interview participants’ anonymity were managed appropriately. This study was approved by the University of Waterloo Research Ethics Board (REB #44925). Further information on the interviews can be found in the interview guide in Appendix 1</w:t>
      </w:r>
      <w:r>
        <w:rPr>
          <w:rFonts w:ascii="Times" w:hAnsi="Times"/>
          <w:sz w:val="22"/>
          <w:szCs w:val="22"/>
        </w:rPr>
        <w:t xml:space="preserve">. </w:t>
      </w:r>
    </w:p>
    <w:p w14:paraId="4B304C74" w14:textId="77777777" w:rsidR="00DC0D95" w:rsidRDefault="00DC0D95" w:rsidP="000C53BC">
      <w:pPr>
        <w:pStyle w:val="Heading3"/>
        <w:spacing w:line="480" w:lineRule="auto"/>
      </w:pPr>
      <w:bookmarkStart w:id="30" w:name="_Toc133020847"/>
      <w:r>
        <w:t>Participatory Research at IMPAC5</w:t>
      </w:r>
      <w:bookmarkEnd w:id="30"/>
    </w:p>
    <w:p w14:paraId="16F1DF66" w14:textId="6CB7F082" w:rsidR="00DC0D95" w:rsidRPr="00DC7DCD" w:rsidRDefault="00BC70EE" w:rsidP="001A5041">
      <w:pPr>
        <w:spacing w:line="480" w:lineRule="auto"/>
        <w:ind w:firstLine="720"/>
      </w:pPr>
      <w:r w:rsidRPr="00BC70EE">
        <w:t>Triangulation occurred through participatory research conducted through observations at the International Marine Protected Areas Congress hosted in Vancouver in February 2023. Participatory research encapsulates a method whereby the researcher records notes based on their experience of an event as a participant or observer to understand better the local context (Creswell et Creswell, 2018:188). Given its location, a significant proportion of professionals working on the estuary and decision-makers were in attendance. Participation in the congress also offered the opportunity to observe the public awareness of the estuary. As a result, observations from informal conversations, presentations, and the overarching connection of the congress to the estuary allowed the researcher to better understand norms and values regionally regarding the governance of the Fraser River Estuary and co-corroborate interview observations on public engagement regarding the case study</w:t>
      </w:r>
      <w:r w:rsidR="00DC7DCD" w:rsidRPr="00362BA5">
        <w:t xml:space="preserve">. </w:t>
      </w:r>
    </w:p>
    <w:p w14:paraId="58141D0D" w14:textId="77777777" w:rsidR="00DC0D95" w:rsidRPr="00A04EA0" w:rsidRDefault="00DC0D95" w:rsidP="000C53BC">
      <w:pPr>
        <w:pStyle w:val="Heading3"/>
        <w:spacing w:line="480" w:lineRule="auto"/>
      </w:pPr>
      <w:bookmarkStart w:id="31" w:name="_Toc127290930"/>
      <w:bookmarkStart w:id="32" w:name="_Toc133020848"/>
      <w:r>
        <w:lastRenderedPageBreak/>
        <w:t>Validation</w:t>
      </w:r>
      <w:bookmarkEnd w:id="31"/>
      <w:bookmarkEnd w:id="32"/>
    </w:p>
    <w:p w14:paraId="7BCF4DF3" w14:textId="5AEE5132" w:rsidR="00BC70EE" w:rsidRDefault="00DC0D95" w:rsidP="00BC70EE">
      <w:pPr>
        <w:pStyle w:val="NormalNI"/>
        <w:spacing w:line="480" w:lineRule="auto"/>
        <w:ind w:firstLine="720"/>
      </w:pPr>
      <w:r>
        <w:t>While</w:t>
      </w:r>
      <w:r w:rsidR="00BC70EE" w:rsidRPr="00BC70EE">
        <w:t xml:space="preserve"> interview-based research can provide valuable first-hand perspectives and information on the reality of conditions, it is commonly criticized for the potential for data to be unreliable or lack validity. Given its ubiquity, frameworks exist to verify interview data to lend greater validity to interview-based research methods (</w:t>
      </w:r>
      <w:proofErr w:type="spellStart"/>
      <w:r w:rsidR="00BC70EE" w:rsidRPr="00BC70EE">
        <w:t>Kvale</w:t>
      </w:r>
      <w:proofErr w:type="spellEnd"/>
      <w:r w:rsidR="00BC70EE" w:rsidRPr="00BC70EE">
        <w:t xml:space="preserve"> and Brinkmann, 2015).</w:t>
      </w:r>
    </w:p>
    <w:p w14:paraId="48068F94" w14:textId="40D53A90" w:rsidR="00DC0D95" w:rsidRDefault="00DC0D95" w:rsidP="00BC70EE">
      <w:pPr>
        <w:pStyle w:val="NormalNI"/>
        <w:spacing w:line="480" w:lineRule="auto"/>
        <w:ind w:firstLine="720"/>
      </w:pPr>
      <w:r>
        <w:t>Through</w:t>
      </w:r>
      <w:r w:rsidR="00BC70EE" w:rsidRPr="00BC70EE">
        <w:t xml:space="preserve"> interviews with professionals from diverse backgrounds working on the Fraser River Estuary, it was possible to survey a variety of perspectives on the governance of the Fraser River Estuary </w:t>
      </w:r>
      <w:proofErr w:type="gramStart"/>
      <w:r w:rsidR="00BC70EE" w:rsidRPr="00BC70EE">
        <w:t>with regard to</w:t>
      </w:r>
      <w:proofErr w:type="gramEnd"/>
      <w:r w:rsidR="00BC70EE" w:rsidRPr="00BC70EE">
        <w:t xml:space="preserve"> both coastal resilience planning and the conservation of migratory shorebirds. The interview questions were based on a literature review of information on the history of governance in the Fraser River Estuary and existing literature on current and future threats. The interview questions were designed with validation questions to ensure that the participants had the opportunity to come back to topics raised earlier in the interview to encourage deeper reflection that better reflected the participant's meaning.</w:t>
      </w:r>
    </w:p>
    <w:p w14:paraId="226F5DEA" w14:textId="66FAAC17" w:rsidR="00BC70EE" w:rsidRDefault="00DC0D95" w:rsidP="00BC70EE">
      <w:pPr>
        <w:spacing w:line="480" w:lineRule="auto"/>
        <w:ind w:firstLine="576"/>
      </w:pPr>
      <w:proofErr w:type="gramStart"/>
      <w:r>
        <w:t>In</w:t>
      </w:r>
      <w:r w:rsidR="00BC70EE">
        <w:t xml:space="preserve"> order to</w:t>
      </w:r>
      <w:proofErr w:type="gramEnd"/>
      <w:r w:rsidR="00BC70EE">
        <w:t xml:space="preserve"> ensure that the interview data was reliable, the interviews were recorded and transcribed and recorded using otter.ai transcription software in addition to digital recordings. Following the interviews, the transcripts were reviewed with the help of the digital recording to remove repetitions and false starts, in addition to ensuring the correct transcription of text when it came to acronyms. Following the transcription review, validation was applied to the content discussed during the interviews. Given that the interviews sought to discuss participants' subjective experiences in their professional work on the Estuary, this element was a complex undertaking. Many interview participants referred to specific project details that were corroborated, when possible, with relevant literature (</w:t>
      </w:r>
      <w:proofErr w:type="spellStart"/>
      <w:r w:rsidR="00BC70EE">
        <w:t>Kvale</w:t>
      </w:r>
      <w:proofErr w:type="spellEnd"/>
      <w:r w:rsidR="00BC70EE">
        <w:t xml:space="preserve"> and Brinkmann, 2015). </w:t>
      </w:r>
    </w:p>
    <w:p w14:paraId="4A8256A3" w14:textId="4B54CD01" w:rsidR="0041579D" w:rsidRDefault="00BC70EE" w:rsidP="00BC70EE">
      <w:pPr>
        <w:spacing w:line="480" w:lineRule="auto"/>
        <w:ind w:firstLine="576"/>
      </w:pPr>
      <w:r>
        <w:t>In addition to the triangulation conducted through participatory research while attending IMPAC5, document analysis of existing documents was used to corroborate participant observations and better understand the legal and policy context (Simmons, 2020).</w:t>
      </w:r>
    </w:p>
    <w:p w14:paraId="7B56DE6C" w14:textId="09AB6D41" w:rsidR="00EA1DED" w:rsidRDefault="00EA1DED" w:rsidP="000C53BC">
      <w:pPr>
        <w:pStyle w:val="Heading2"/>
        <w:spacing w:line="480" w:lineRule="auto"/>
      </w:pPr>
      <w:bookmarkStart w:id="33" w:name="_Toc133020849"/>
      <w:r>
        <w:lastRenderedPageBreak/>
        <w:t>Data Analysis</w:t>
      </w:r>
      <w:bookmarkEnd w:id="33"/>
    </w:p>
    <w:p w14:paraId="7038E2F2" w14:textId="61DFB1AE" w:rsidR="007C0DE9" w:rsidRPr="007C0DE9" w:rsidRDefault="00433C1F" w:rsidP="007C0DE9">
      <w:pPr>
        <w:pStyle w:val="Body"/>
        <w:spacing w:line="480" w:lineRule="auto"/>
        <w:ind w:firstLine="576"/>
        <w:rPr>
          <w:rFonts w:ascii="Times" w:hAnsi="Times"/>
          <w:sz w:val="22"/>
          <w:szCs w:val="22"/>
        </w:rPr>
      </w:pPr>
      <w:r w:rsidRPr="00B938CA">
        <w:rPr>
          <w:rFonts w:ascii="Times" w:hAnsi="Times"/>
          <w:sz w:val="22"/>
          <w:szCs w:val="22"/>
        </w:rPr>
        <w:t xml:space="preserve">To </w:t>
      </w:r>
      <w:r w:rsidR="007C0DE9" w:rsidRPr="007C0DE9">
        <w:rPr>
          <w:rFonts w:ascii="Times" w:hAnsi="Times"/>
          <w:sz w:val="22"/>
          <w:szCs w:val="22"/>
        </w:rPr>
        <w:t xml:space="preserve">analyze the set of qualitative data gathered through the interviews, QSR </w:t>
      </w:r>
      <w:proofErr w:type="spellStart"/>
      <w:r w:rsidR="007C0DE9" w:rsidRPr="007C0DE9">
        <w:rPr>
          <w:rFonts w:ascii="Times" w:hAnsi="Times"/>
          <w:sz w:val="22"/>
          <w:szCs w:val="22"/>
        </w:rPr>
        <w:t>Nvivo</w:t>
      </w:r>
      <w:proofErr w:type="spellEnd"/>
      <w:r w:rsidR="007C0DE9" w:rsidRPr="007C0DE9">
        <w:rPr>
          <w:rFonts w:ascii="Times" w:hAnsi="Times"/>
          <w:sz w:val="22"/>
          <w:szCs w:val="22"/>
        </w:rPr>
        <w:t xml:space="preserve"> analysis software was used to conduct a thematic analysis of qualitative data from interviews to identify overarching themes and patterns. QSR </w:t>
      </w:r>
      <w:proofErr w:type="spellStart"/>
      <w:r w:rsidR="007C0DE9" w:rsidRPr="007C0DE9">
        <w:rPr>
          <w:rFonts w:ascii="Times" w:hAnsi="Times"/>
          <w:sz w:val="22"/>
          <w:szCs w:val="22"/>
        </w:rPr>
        <w:t>Nvivo</w:t>
      </w:r>
      <w:proofErr w:type="spellEnd"/>
      <w:r w:rsidR="007C0DE9" w:rsidRPr="007C0DE9">
        <w:rPr>
          <w:rFonts w:ascii="Times" w:hAnsi="Times"/>
          <w:sz w:val="22"/>
          <w:szCs w:val="22"/>
        </w:rPr>
        <w:t xml:space="preserve"> is a more efficient means to store and locate qualitative data (Creswell et Creswell, 2018). Framework analysis is a subset of thematic analysis, using a stricter series of steps to guide the researcher in the textual data analysis (Creswell et Creswell, 2018). During the interviews, transcription software was used to record the participants' answers for analysis. In addition, to the interview data, field notes based on participant observations from the IMPAC5 conference in Vancouver in February were analyzed to triangulate themes.             </w:t>
      </w:r>
    </w:p>
    <w:p w14:paraId="74D2648D" w14:textId="51674889" w:rsidR="00433C1F" w:rsidRDefault="007C0DE9" w:rsidP="007C0DE9">
      <w:pPr>
        <w:pStyle w:val="Body"/>
        <w:spacing w:line="480" w:lineRule="auto"/>
        <w:ind w:firstLine="576"/>
        <w:rPr>
          <w:rFonts w:ascii="Times" w:hAnsi="Times"/>
          <w:sz w:val="22"/>
          <w:szCs w:val="22"/>
        </w:rPr>
      </w:pPr>
      <w:r w:rsidRPr="007C0DE9">
        <w:rPr>
          <w:rFonts w:ascii="Times" w:hAnsi="Times"/>
          <w:sz w:val="22"/>
          <w:szCs w:val="22"/>
        </w:rPr>
        <w:t>A review of transcripts, or the raw data, was undertaken to begin the data analysis process. The raw data was then exported into the QSR NVivo analysis program, where it was coded based on observations from reviewing the transcripts. The themes, or nodes, were coded using a list of words and categories identified during the review of the transcripts that align with the elements of the adaptive governance framework outlined in section 2.4.2 (Agyekum et al., 2019). The coding scheme is created by assigning specific nodes to selected parts of the text, and similar nodes are classified under the different elements of adaptive governance (Creswell et al., 2016). Once the themes were indexed, they were reviewed to define themes and patterns through the mapping and interpretation step, where the researcher links overarching narratives to form the basis for the significant findings presented by the paper (Ruane, 2020). The data analysis will be represented through a qualitative narrative outlining how this case study's themes play out (Creswell et Creswell, 2018).</w:t>
      </w:r>
      <w:r w:rsidR="009F3B3E">
        <w:rPr>
          <w:rFonts w:ascii="Times" w:hAnsi="Times"/>
          <w:sz w:val="22"/>
          <w:szCs w:val="22"/>
        </w:rPr>
        <w:tab/>
      </w:r>
      <w:r w:rsidR="009F3B3E">
        <w:rPr>
          <w:rFonts w:ascii="Times" w:hAnsi="Times"/>
          <w:sz w:val="22"/>
          <w:szCs w:val="22"/>
        </w:rPr>
        <w:tab/>
      </w:r>
    </w:p>
    <w:p w14:paraId="27B5CA3C" w14:textId="6401D199" w:rsidR="0013133A" w:rsidRDefault="0013133A" w:rsidP="000C53BC">
      <w:pPr>
        <w:pStyle w:val="Heading1"/>
        <w:numPr>
          <w:ilvl w:val="0"/>
          <w:numId w:val="36"/>
        </w:numPr>
        <w:spacing w:line="480" w:lineRule="auto"/>
      </w:pPr>
      <w:bookmarkStart w:id="34" w:name="_Toc133020850"/>
      <w:r>
        <w:lastRenderedPageBreak/>
        <w:t xml:space="preserve">Chapter </w:t>
      </w:r>
      <w:r w:rsidR="003B1A74">
        <w:t>4</w:t>
      </w:r>
      <w:r>
        <w:br/>
      </w:r>
      <w:r>
        <w:br/>
      </w:r>
      <w:r w:rsidR="005D71B4">
        <w:t>Results</w:t>
      </w:r>
      <w:bookmarkEnd w:id="34"/>
    </w:p>
    <w:p w14:paraId="2702451E" w14:textId="5C86C0FC" w:rsidR="004E46AC" w:rsidRDefault="004E46AC" w:rsidP="000C53BC">
      <w:pPr>
        <w:pStyle w:val="Heading2"/>
        <w:spacing w:line="480" w:lineRule="auto"/>
      </w:pPr>
      <w:bookmarkStart w:id="35" w:name="_Toc133020851"/>
      <w:r w:rsidRPr="00E84709">
        <w:t>Introduction</w:t>
      </w:r>
      <w:bookmarkEnd w:id="35"/>
    </w:p>
    <w:p w14:paraId="2C336C79" w14:textId="1E89A65E" w:rsidR="007C0DE9" w:rsidRDefault="007C0DE9" w:rsidP="007C0DE9">
      <w:pPr>
        <w:spacing w:line="480" w:lineRule="auto"/>
      </w:pPr>
      <w:r>
        <w:t xml:space="preserve">In using a deductive approach to test the adaptive governance theory through the case study of the ability of the Fraser River Estuary's governance system, the participant interviews highlighted various themes that tell a larger narrative of temperate estuaries around the world. In total, nine interviews were conducted with eleven participants. The participants' backgrounds varied across different levels of government, non-governmental organizations, and academics engaged in the governance of the estuary. To maintain the anonymity of the interview participants, they were assigned letters through a randomizer software that will be used to attribute quotes. In addition, participatory analysis through attending the International Marine Protected Area Congress hosted in Vancouver. Insights from this event will be woven throughout to support interview results.   </w:t>
      </w:r>
    </w:p>
    <w:p w14:paraId="48AD3275" w14:textId="4BD5218B" w:rsidR="004E46AC" w:rsidRDefault="007C0DE9" w:rsidP="007C0DE9">
      <w:pPr>
        <w:spacing w:line="480" w:lineRule="auto"/>
      </w:pPr>
      <w:r>
        <w:t>The Fraser River Estuary requires a comprehensive, well-resourced governance system to foster resilience to meet current and future threats. However, without broader community empowerment and support, such a governance system will likely meet a similar fate to the FREMP. This section will lay out the results according to the eight indicators of adaptive governance pre-selected through the literature review process before summarizing the current governance landscape and future governance objectives that participants highlighted.</w:t>
      </w:r>
    </w:p>
    <w:p w14:paraId="7427266B" w14:textId="77777777" w:rsidR="004E46AC" w:rsidRDefault="004E46AC" w:rsidP="000C53BC">
      <w:pPr>
        <w:pStyle w:val="Heading2"/>
        <w:spacing w:line="480" w:lineRule="auto"/>
      </w:pPr>
      <w:bookmarkStart w:id="36" w:name="_Toc133020852"/>
      <w:r w:rsidRPr="00E84709">
        <w:lastRenderedPageBreak/>
        <w:t>Adaptive governance analysis</w:t>
      </w:r>
      <w:bookmarkEnd w:id="36"/>
    </w:p>
    <w:p w14:paraId="21833A96" w14:textId="39456186" w:rsidR="004E46AC" w:rsidRPr="009F48B8" w:rsidRDefault="004E46AC" w:rsidP="000C53BC">
      <w:pPr>
        <w:pStyle w:val="Heading3"/>
        <w:spacing w:line="480" w:lineRule="auto"/>
        <w:rPr>
          <w:szCs w:val="32"/>
        </w:rPr>
      </w:pPr>
      <w:bookmarkStart w:id="37" w:name="_Toc133020853"/>
      <w:r w:rsidRPr="004E46AC">
        <w:t>Collaboration</w:t>
      </w:r>
      <w:bookmarkEnd w:id="37"/>
    </w:p>
    <w:p w14:paraId="2D07DD4B" w14:textId="05CF80A0" w:rsidR="007C0DE9" w:rsidRDefault="004E46AC" w:rsidP="007C0DE9">
      <w:pPr>
        <w:spacing w:line="480" w:lineRule="auto"/>
      </w:pPr>
      <w:r>
        <w:t>Collaboration</w:t>
      </w:r>
      <w:r w:rsidR="007C0DE9">
        <w:t>, or the meaningful interaction of diverse actors across scales, is a crucial element of adaptive governance systems (Sharma-Wallace et al., 2018). As the body of literature on adaptive governance demonstrates, a broad range of informal and formal collaboration opportunities increases adaptive governance outcomes by encouraging trust and adaptability in the governance process (Sharma-Wallace et al., 2018). In the Fraser River Estuary, interview participants indicated that formal collaboration happens on an ad hoc basis rather than broadly across scales and sectors. Like many environmental issues across Canada, the legislation leads to a fractured governance system with clear silos formed by jurisdiction and mandates. The siloed governance leads to a lack of collaborative decision-making and objective setting. As a result of limited mandates to collaborate, many organizations are entirely focused on their clear organizational objectives and fail to listen to what others are saying, thinking, or doing. The meaningful collaboration noted in the definition above is interpreted in the literature as whether it includes broad participation where actors can influence governance processes and activities (Sharma-Wallace et al., 2018). When collaboration does occur, it is limited in scope, with Participant D describing, "[c]</w:t>
      </w:r>
      <w:proofErr w:type="spellStart"/>
      <w:r w:rsidR="007C0DE9">
        <w:t>ollaboration</w:t>
      </w:r>
      <w:proofErr w:type="spellEnd"/>
      <w:r w:rsidR="007C0DE9">
        <w:t xml:space="preserve"> happens on a more case by case basis. It's not comprehensive over an area, it's more for a particular site or a particular project." For example, at the federal level, the governmental organizations engaged in the governance of the Estuary have specific authority delineated by federal legislation that limits the scope of their work, often translating into a lack of ambition to collaborate and achieve broader objectives. Without a mandate to collaborate from the outset, organizations are unlikely to leverage local knowledge and effectively direct projects to address gaps as understood by the broader community. </w:t>
      </w:r>
    </w:p>
    <w:p w14:paraId="21C14A22" w14:textId="77777777" w:rsidR="007C0DE9" w:rsidRDefault="007C0DE9" w:rsidP="007C0DE9">
      <w:pPr>
        <w:spacing w:line="480" w:lineRule="auto"/>
      </w:pPr>
      <w:r>
        <w:lastRenderedPageBreak/>
        <w:t xml:space="preserve">At the management level, many projects take place in isolation, forming a collective patchwork of projects expected to survive in a bubble when they are part of a much larger system. Several noted the importance of collaboration to bring more funding to the table and better deliver co-benefits through infrastructure programs that help provide habitat for migratory shorebirds. However, without collaboration as a priority across the mandates of the organizations engaged in the conservation, it is unlikely that it will be prioritized with dedicated staff time. As Participant A expressed, "imagine if you just had kind of from day one to start, let's just collaborate because that's our mandate." However, that same participant acknowledged how complex the road to broad collaboration is and that staff are unlikely to pursue such opportunities without a clear mandate. </w:t>
      </w:r>
    </w:p>
    <w:p w14:paraId="7B716CB3" w14:textId="0F45C38F" w:rsidR="008259F1" w:rsidRDefault="007C0DE9" w:rsidP="007C0DE9">
      <w:pPr>
        <w:spacing w:line="480" w:lineRule="auto"/>
      </w:pPr>
      <w:r>
        <w:t>When it comes to supporting a specific species like the Western Sandpiper or another shorebird, it is, in turn, challenging to have organizations consider how their flood protection infrastructure projects might offer opportunities to collaborate with conservation organizations and deliver co-benefits without the norm of considering how they might collaborate. Without formal and informal opportunities for organizations to collaborate across the governance landscape, it is difficult to build many other elements that set the stage for effective adaptive governance, such as social capital, the links between knowledge and decision-making, and community empowerment.</w:t>
      </w:r>
    </w:p>
    <w:p w14:paraId="2B8E8068" w14:textId="186AAE88" w:rsidR="004E46AC" w:rsidRDefault="004E46AC" w:rsidP="000C53BC">
      <w:pPr>
        <w:pStyle w:val="Heading3"/>
        <w:spacing w:line="480" w:lineRule="auto"/>
      </w:pPr>
      <w:bookmarkStart w:id="38" w:name="_Toc133020854"/>
      <w:r>
        <w:t>Coordination</w:t>
      </w:r>
      <w:bookmarkEnd w:id="38"/>
    </w:p>
    <w:p w14:paraId="1B14482F" w14:textId="27FBAA0B" w:rsidR="004E46AC" w:rsidRDefault="004E46AC" w:rsidP="000C53BC">
      <w:pPr>
        <w:spacing w:line="480" w:lineRule="auto"/>
      </w:pPr>
      <w:r>
        <w:t>Building</w:t>
      </w:r>
      <w:r w:rsidR="007C0DE9" w:rsidRPr="007C0DE9">
        <w:t xml:space="preserve"> off collaboration, the coordination element of bringing actors together across scales is another essential element of successful adaptive governance. Specifically, it seeks to understand whether an established body exists to unite actors to coordinate their collective efforts across scales that house and provide space for the multiple dimensions of environmental challenges (Sharma-Wallace et al., 2018). Generally, an established body is lacking for coordinating actors and setting priorities at an Estuary-wide level. Since FREMP ended, many </w:t>
      </w:r>
      <w:r w:rsidR="007C0DE9" w:rsidRPr="007C0DE9">
        <w:lastRenderedPageBreak/>
        <w:t>participants described a lack of high-level, comprehensive coordination across the estuary. As described by Participant I, “FREMP had a lot of collaboration, a lot of input, and was, for its time, quite advanced.” With the lack of a body comes the lack of a venue with the social legitimacy necessary to set broad governance objectives that could spur collaboration between actors. For instance, Participant K described a conversation with another actor about the challenges of keeping track of all the great work being done around the estuary. Without the awareness of what other actors are doing across levels, the opportunities for meaningful collaboration to leverage work are limited. Particularly with so many organizations with overlapping mandates, especially regarding NGOs, missed opportunities to leverage each other’s work are costly and a direct result of a lack of coordination. While it is not an established governance body, the Adapting for Ecological Resilience (AFER) Network seeks to bring together actors working towards ecological resilience in the Lower Fraser Region to increase communication, collaboration, and coordination. Through a working group structure, the network has brought together actors from NGOs and different levels of government and fostered collaboration, but it lacks the power of FREMP</w:t>
      </w:r>
      <w:r>
        <w:t xml:space="preserve">. </w:t>
      </w:r>
    </w:p>
    <w:p w14:paraId="56BB5CAF" w14:textId="46305180" w:rsidR="004E46AC" w:rsidRDefault="004E46AC" w:rsidP="000C53BC">
      <w:pPr>
        <w:pStyle w:val="Heading3"/>
        <w:spacing w:line="480" w:lineRule="auto"/>
      </w:pPr>
      <w:bookmarkStart w:id="39" w:name="_Toc133020855"/>
      <w:r>
        <w:t>Social Capital</w:t>
      </w:r>
      <w:bookmarkEnd w:id="39"/>
    </w:p>
    <w:p w14:paraId="2477320D" w14:textId="58F964D3" w:rsidR="005C0DBB" w:rsidRDefault="005C0DBB" w:rsidP="005C0DBB">
      <w:pPr>
        <w:spacing w:line="480" w:lineRule="auto"/>
      </w:pPr>
      <w:r>
        <w:t xml:space="preserve">Social capital is a base ingredient to determine the success of efforts to collaborate and coordinate. It is also defined as the base level of trust, familiarity, and goodwill between actors. All participants expressed a desire to collaborate and recognize the shared challenge of governance in the estuary. With the shuttling of FREMP in 2013 and unfulfilled election commitments from the current federal government since, many participants expressed frustration with the lack of federal leadership to spur the creation of a governance system in the estuary to express what was lost. At the provincial level, similar frustrations were expressed, particularly around the lack of clear management plans for the five wildlife management areas that remain in draft form from the early 2000s. These two levels have made progress more recently in rebuilding </w:t>
      </w:r>
      <w:r>
        <w:lastRenderedPageBreak/>
        <w:t>trust with the broader community of actors engaged in the governance of the estuary through funding opportunities. However, longer-term programs need to come into play to rebuild the longer-term relationships that will create the conditions for success in the face of future threats. Locally, the municipalities vary in their engagement with the broader estuary governance community. Engaging more broadly helps build the necessary social trust, familiarity, and goodwill to be more ambitious and strategic in addressing current and future threats to the estuary.</w:t>
      </w:r>
    </w:p>
    <w:p w14:paraId="2855760B" w14:textId="729DCFA3" w:rsidR="003933F2" w:rsidRDefault="005C0DBB" w:rsidP="005C0DBB">
      <w:pPr>
        <w:spacing w:line="480" w:lineRule="auto"/>
      </w:pPr>
      <w:r>
        <w:t xml:space="preserve"> Across NGOs, while they have a broad range of focuses, most participants with a background in this sector expressed familiarity with other organizations working in the estuary, if not goodwill towards each other’s work. Between NGOs, the basis of social capital does appear to be present for adaptive governance, with Participant K describing the existing collaboration as “usually you might get a few groups working together, and they work really well together.” As such, it follows that through a central hub, such collaboration could be scaled up given the readiness of actors to participate in such partnership arrangements due to a strong base of social capital within that sector. However, that same participant acknowledged that “collaboration does have to cross sectors, to truly be powerful,” recognizing the importance of the need for broader trust, familiarity, and goodwill across scales and sectors to provide the foundation for effective adaptive governance.  </w:t>
      </w:r>
      <w:r w:rsidR="004E46AC">
        <w:t xml:space="preserve"> </w:t>
      </w:r>
    </w:p>
    <w:p w14:paraId="7D5B7F7D" w14:textId="5CE8FA14" w:rsidR="004E46AC" w:rsidRDefault="004E46AC" w:rsidP="000C53BC">
      <w:pPr>
        <w:pStyle w:val="Heading3"/>
        <w:spacing w:line="480" w:lineRule="auto"/>
      </w:pPr>
      <w:bookmarkStart w:id="40" w:name="_Toc133020856"/>
      <w:r>
        <w:t>Community Empowerment</w:t>
      </w:r>
      <w:bookmarkEnd w:id="40"/>
    </w:p>
    <w:p w14:paraId="62E7F11E" w14:textId="49805B47" w:rsidR="004E46AC" w:rsidRDefault="004E46AC" w:rsidP="000C53BC">
      <w:pPr>
        <w:spacing w:line="480" w:lineRule="auto"/>
      </w:pPr>
      <w:r w:rsidRPr="000F213E">
        <w:rPr>
          <w:lang w:val="en"/>
        </w:rPr>
        <w:t>A</w:t>
      </w:r>
      <w:r w:rsidR="005C0DBB" w:rsidRPr="005C0DBB">
        <w:rPr>
          <w:lang w:val="en"/>
        </w:rPr>
        <w:t xml:space="preserve"> critical weak link in the potential for adaptive governance within the Fraser River Estuary is the generally limited public awareness of the ecosystem and its ecological importance. As outlined by principles of adaptive governance, community empowerment is vital to providing public support for a governance system that can adapt to change. However, without a baseline awareness of the estuary, its ecological importance, and the ongoing degradation, the community is unlikely to be empowered to support good governance towards ecological objectives, as </w:t>
      </w:r>
      <w:r w:rsidR="005C0DBB" w:rsidRPr="005C0DBB">
        <w:rPr>
          <w:lang w:val="en"/>
        </w:rPr>
        <w:lastRenderedPageBreak/>
        <w:t>required. Particularly with the history of FREMP quietly being folded away, it was clear that the necessary public awareness was not present to support a governance structure. As explained by Participant K, "a governance structure that is just bureaucratic and doesn't have the support of the people is one that could five years from now disappear, just like FREMP disappeared." Throughout the interviews, professionals noted how the ecosystem is referred to within their field as an ecological gem, held in the same regard globally as the Amazon rainforest or the Great Barrier Reef, yet most people living within the watershed are disconnected. Some participants remarked that even those in their social circles had little awareness that the Fraser River Estuary existed, let alone its ecological significance. In turn, most noted the importance of community empowerment to ensure the long-term resilience of a future governance system to future political winds. Participant F commented that, too often, "our back is to the river, and our front is to the ocean and the mountains." While many move to the west coast specifically for the water, the local engagement is failing to create public support that can, in turn, spur more robust governance. In other words, "it is the death knell of any management plan, where they don't bring people in until a plan is in developed," according to Participant K. Throughout the IMPAC5 conference, little acknowledgement was made of the importance of the Fraser River Estuary's international conference even as marine conservation practitioners gathered. Further, it is essential that when actors speak about the estuary's resilience, human communities be considered in those decisions. As the impacts of coastal flooding and other extreme weather increase in severity due to climate change, communities must be equipped and empowered to drive effective governance.</w:t>
      </w:r>
      <w:r>
        <w:t xml:space="preserve"> </w:t>
      </w:r>
    </w:p>
    <w:p w14:paraId="3CC7F932" w14:textId="5180CA28" w:rsidR="004E46AC" w:rsidRDefault="004E46AC" w:rsidP="000C53BC">
      <w:pPr>
        <w:pStyle w:val="Heading3"/>
        <w:spacing w:line="480" w:lineRule="auto"/>
      </w:pPr>
      <w:bookmarkStart w:id="41" w:name="_Toc133020857"/>
      <w:r w:rsidRPr="00DE6825">
        <w:t>Capacity development</w:t>
      </w:r>
      <w:bookmarkEnd w:id="41"/>
    </w:p>
    <w:p w14:paraId="4316AD8F" w14:textId="48B2451D" w:rsidR="00D86A6D" w:rsidRDefault="00D86A6D" w:rsidP="00D86A6D">
      <w:pPr>
        <w:spacing w:line="480" w:lineRule="auto"/>
      </w:pPr>
      <w:r>
        <w:t xml:space="preserve">While there are many projects in the estuary, like the Boundary Bay Living Dike Project, the success of many small-scale projects is determined by the increased uptake of innovative approaches across the estuary. A critical element of adaptive governance referred to as capacity development, social learning opportunities, knowledge resources, and scope for action to sustain </w:t>
      </w:r>
      <w:r>
        <w:lastRenderedPageBreak/>
        <w:t xml:space="preserve">governance activities (Sharma-Wallace et al., 2018). The challenge of broader governance fragmentation feeds into the more significant problem of a limited scope of action to sustain governance activities. To achieve long-term goals of restoring the ecosystem and reversing the tide of habitat degradation, ambitious objectives must be agreed upon and supported through the collaborative capacity development of actors. Much of the work is currently focused on maintaining the status quo, which is in misalignment with what is required to ensure the lasting well-being of the estuary, as expressed by several participants. </w:t>
      </w:r>
    </w:p>
    <w:p w14:paraId="5EAFCE80" w14:textId="580D15B3" w:rsidR="004E46AC" w:rsidRDefault="00D86A6D" w:rsidP="00D86A6D">
      <w:pPr>
        <w:spacing w:line="480" w:lineRule="auto"/>
      </w:pPr>
      <w:r>
        <w:t>While there are important examples of social learning through more extensive networks like AFER, most social learning between actors engaged in governance happens on an ad hoc basis. Beyond individual funding projects that often have integrated assessment mechanisms, there is a lack of opportunities to self-evaluate across sectors and projects to learn from what has been accomplished. As described by Participant J, "we can learn from the activities that they have completed and the successes that they've had and that then helps inform what guidance we may provide to future proponents or what activities we might choose to fund." While internal assessment processes are essential to encourage reflection and evaluation, limiting such progress to their circle leaves out an opportunity for learning across the governance landscape. Many attributed the lack of opportunities to a lack of capacity and time for robust conversations. However, many also acknowledged the importance of seeking opportunities to learn from other organizations when possible.</w:t>
      </w:r>
    </w:p>
    <w:p w14:paraId="6686E6E4" w14:textId="44BCF611" w:rsidR="004E46AC" w:rsidRDefault="004E46AC" w:rsidP="000C53BC">
      <w:pPr>
        <w:pStyle w:val="Heading3"/>
        <w:spacing w:line="480" w:lineRule="auto"/>
      </w:pPr>
      <w:bookmarkStart w:id="42" w:name="_Toc133020858"/>
      <w:r>
        <w:t>Link between knowledge and decision-making</w:t>
      </w:r>
      <w:bookmarkEnd w:id="42"/>
    </w:p>
    <w:p w14:paraId="2CB2E06F" w14:textId="31C8DAF8" w:rsidR="004E46AC" w:rsidRDefault="004E46AC" w:rsidP="000C53BC">
      <w:pPr>
        <w:spacing w:line="480" w:lineRule="auto"/>
      </w:pPr>
      <w:proofErr w:type="gramStart"/>
      <w:r>
        <w:t>Expanding</w:t>
      </w:r>
      <w:r w:rsidR="00BC50E7" w:rsidRPr="00BC50E7">
        <w:t xml:space="preserve"> on learning opportunities, it</w:t>
      </w:r>
      <w:proofErr w:type="gramEnd"/>
      <w:r w:rsidR="00BC50E7" w:rsidRPr="00BC50E7">
        <w:t xml:space="preserve"> is vital that the emerging research on the Fraser River Estuary be utilized to inform decision-making bodies. Across participant interviews with current and former public servants at various levels of government, there was a clear awareness of ongoing research taking place on the estuary from various disciplines, from restoration ecology to social sciences. At IMPAC5, there was a clear recognition of the names of prominent researchers </w:t>
      </w:r>
      <w:r w:rsidR="00BC50E7" w:rsidRPr="00BC50E7">
        <w:lastRenderedPageBreak/>
        <w:t>by decision-makers. However, without an entity like FREMP, there is a lack of a decision-making body intended for the same purpose with the same access to researchers. Overall, there was insufficient interview or participatory research data on these interactions to further speak to this element</w:t>
      </w:r>
      <w:r>
        <w:t xml:space="preserve">. </w:t>
      </w:r>
    </w:p>
    <w:p w14:paraId="1B2E7E03" w14:textId="12A19A23" w:rsidR="004E46AC" w:rsidRDefault="004E46AC" w:rsidP="000C53BC">
      <w:pPr>
        <w:pStyle w:val="Heading3"/>
        <w:spacing w:line="480" w:lineRule="auto"/>
      </w:pPr>
      <w:bookmarkStart w:id="43" w:name="_Toc133020859"/>
      <w:r>
        <w:t>Leadership</w:t>
      </w:r>
      <w:bookmarkEnd w:id="43"/>
    </w:p>
    <w:p w14:paraId="11F1475F" w14:textId="45F16744" w:rsidR="004E46AC" w:rsidRDefault="004F632D" w:rsidP="000C53BC">
      <w:pPr>
        <w:spacing w:line="480" w:lineRule="auto"/>
      </w:pPr>
      <w:r w:rsidRPr="004F632D">
        <w:t>Overall, interview participants articulated a clear frustration at the lack of movement toward a robust, transparent governance system. Among interview participants, the sense of frustration at the continued decline of the estuary was palpable, with Participant D describing, "our goal should be to improve the estuary and not to maintain a status quo or not to hold on to, you know, last vestiges in a doomed attempt." Many with similar frustrations on the decline of the estuary identified a lack of clear leadership as a significant roadblock to moving forward. When asked where leadership needed to come from to ensure the long-term success of a governance system, most identified the importance of the role of Indigenous peoples at the table from the beginning, if not setting the table. As Participant K described, there is a need for a governance system "co-created by Indigenous governments, with the federal government and has very clear goals for and has at its heart the revitalization of this body of water." Within the province of British Columbia, there is an increasing understanding of what implementing UNDRIP means in practice. Participants cited examples, including the Great Bear Sea MPA network and Blueberry First Nation, where colonial governments increasingly come to a table where Indigenous peoples set the terms. However, much of that work leads to be supported through significant, long-term investment from the provincial and federal levels. While some acknowledged the port's authority, they perceived it as a proponent of development rather than an environmental governance entity.</w:t>
      </w:r>
    </w:p>
    <w:p w14:paraId="27BE0624" w14:textId="2800E65A" w:rsidR="004E46AC" w:rsidRDefault="004E46AC" w:rsidP="000C53BC">
      <w:pPr>
        <w:pStyle w:val="Heading3"/>
        <w:spacing w:line="480" w:lineRule="auto"/>
      </w:pPr>
      <w:bookmarkStart w:id="44" w:name="_Toc133020860"/>
      <w:r>
        <w:lastRenderedPageBreak/>
        <w:t>Governance Opportunities</w:t>
      </w:r>
      <w:bookmarkEnd w:id="44"/>
    </w:p>
    <w:p w14:paraId="405FBC1B" w14:textId="5601BC63" w:rsidR="00120665" w:rsidRDefault="00120665" w:rsidP="00120665">
      <w:pPr>
        <w:spacing w:line="480" w:lineRule="auto"/>
      </w:pPr>
      <w:r>
        <w:t xml:space="preserve">Across the board, there was clear interest and will </w:t>
      </w:r>
      <w:proofErr w:type="gramStart"/>
      <w:r>
        <w:t>expressed</w:t>
      </w:r>
      <w:proofErr w:type="gramEnd"/>
      <w:r>
        <w:t xml:space="preserve"> by most participants to engage in some form of FREMP 2.0. However, the question remains, are these actors prepared to take advantage of a window of opportunity to initiate adaptive governance? A clear barrier to taking advantage of governance windows, like after the November 2021 floods, is the jurisdictional complexity of the region and the challenge of getting all the players to the table. In addition, there are many other ongoing processes in the estuary, with Participant K placing the number as high as 67. Many vital actors struggle with the capacity to engage in every one of these processes meaningfully. The problem is particularly acute in local First Nations. Several participants described overwhelmed offices from their outsider perspective, unable to keep up with the demands placed on their limited capacity. A central hub to foster collaboration and coordination with the funding to encourage innovative projects with multiple co-benefits would likely help address this challenge and bring together stakeholders for the critical discussions needed to set objectives for the estuary moving forward. </w:t>
      </w:r>
    </w:p>
    <w:p w14:paraId="1A32F842" w14:textId="33C03313" w:rsidR="004E46AC" w:rsidRDefault="00120665" w:rsidP="00120665">
      <w:pPr>
        <w:spacing w:line="480" w:lineRule="auto"/>
      </w:pPr>
      <w:r>
        <w:t>Increasingly, the conversation around resilience is emerging, given the region's vulnerability to climate change and other pressures, as expressed by interview participants. As highlighted by Participant K and Participant A, the discussion of resilience helps broaden how actors think about advancing their mandate to acknowledge that the holistic well-being of the coast and those that depend upon it rely on the co-creation of multi-faceted solutions like the coastal adaptation that prioritizes the conservation of the shoreline to benefit both human communities and shorebirds. In doing so, the resilience discussion had by certain actors is combating siloed and fragmented nature of this governance landscape and offers optimism for expanding opportunities moving forward. However, without many other elements of adaptive governance strengthened across this landscape, the interview evidence suggests that such an opportunity is unlikely to be leveraged to its full potential.</w:t>
      </w:r>
    </w:p>
    <w:p w14:paraId="0AE1E3E6" w14:textId="6CA4CE8E" w:rsidR="004E46AC" w:rsidRDefault="004E46AC" w:rsidP="000C53BC">
      <w:pPr>
        <w:pStyle w:val="Heading2"/>
        <w:spacing w:line="480" w:lineRule="auto"/>
      </w:pPr>
      <w:bookmarkStart w:id="45" w:name="_Toc133020861"/>
      <w:r>
        <w:lastRenderedPageBreak/>
        <w:t>Current State of Affairs</w:t>
      </w:r>
      <w:bookmarkEnd w:id="45"/>
    </w:p>
    <w:p w14:paraId="23D24A53" w14:textId="48B79ACF" w:rsidR="00120665" w:rsidRDefault="004E46AC" w:rsidP="00120665">
      <w:pPr>
        <w:spacing w:line="480" w:lineRule="auto"/>
      </w:pPr>
      <w:r>
        <w:t>As</w:t>
      </w:r>
      <w:r w:rsidR="00120665">
        <w:t xml:space="preserve"> these elements have demonstrated, there is no clear governance system for the Fraser River Estuary today. While many hope to see the return of a governance structure, most operating on the estuary do so according to limited mandates that silo elements of a complex system. </w:t>
      </w:r>
    </w:p>
    <w:p w14:paraId="0D5C2CCF" w14:textId="46BAE32C" w:rsidR="004C5D05" w:rsidRDefault="00120665" w:rsidP="00120665">
      <w:pPr>
        <w:spacing w:line="480" w:lineRule="auto"/>
      </w:pPr>
      <w:r>
        <w:t xml:space="preserve">Generally, there is a clear sense of a shift underway of overarching leadership from Indigenous nations that will play a more prominent role in setting the stage for work undertaken by colonial governments. With the metaphorically ecological pie getting continually smaller with the ongoing loss of habitat, </w:t>
      </w:r>
      <w:proofErr w:type="gramStart"/>
      <w:r>
        <w:t>it is clear that for</w:t>
      </w:r>
      <w:proofErr w:type="gramEnd"/>
      <w:r>
        <w:t xml:space="preserve"> the long-term resilience of the ecosystem, the status quo is no longer tenable and more ambitious action must take place for the lasting well-being of communities, human and ecological. Participant A specifically noted the extent the living dike project gets cited as an example of this issue. While the project fully deserves the recognition it receives, in the scale of the larger Fraser River Estuary, it is a small victory given the scope of action required. Many interview participants from outside the government expressed frustration at their perception that the dominant view is that the possibility for the industry is infinite and that there is a lack of adaptive management capable of responding effectively to the ongoing degradation of the estuary, such as curbing industrial pollution. Most interview participants across sectors described how the lack of explicit governance objectives </w:t>
      </w:r>
      <w:proofErr w:type="gramStart"/>
      <w:r>
        <w:t>has</w:t>
      </w:r>
      <w:proofErr w:type="gramEnd"/>
      <w:r>
        <w:t xml:space="preserve"> often translated into industrial needs being prioritized over ecological needs. In short, the participants collectively expressed the need for a comprehensive central hub for governance with a paradigm shift towards ecological objectives to ensure the lasting well-being of the country's ecological gem in the Fraser River Estuary. </w:t>
      </w:r>
    </w:p>
    <w:p w14:paraId="4DB36F30" w14:textId="6B731D8A" w:rsidR="004C5D05" w:rsidRDefault="004C5D05" w:rsidP="000C53BC">
      <w:pPr>
        <w:pStyle w:val="Heading1"/>
        <w:numPr>
          <w:ilvl w:val="0"/>
          <w:numId w:val="36"/>
        </w:numPr>
        <w:spacing w:line="480" w:lineRule="auto"/>
      </w:pPr>
      <w:bookmarkStart w:id="46" w:name="_Toc133020862"/>
      <w:r>
        <w:lastRenderedPageBreak/>
        <w:t>Chapter 5</w:t>
      </w:r>
      <w:r>
        <w:br/>
      </w:r>
      <w:r>
        <w:br/>
        <w:t>Discussion</w:t>
      </w:r>
      <w:bookmarkEnd w:id="46"/>
    </w:p>
    <w:p w14:paraId="5718ECAA" w14:textId="293C65D9" w:rsidR="004C5D05" w:rsidRDefault="004C5D05" w:rsidP="000C53BC">
      <w:pPr>
        <w:spacing w:line="480" w:lineRule="auto"/>
        <w:ind w:firstLine="0"/>
      </w:pPr>
    </w:p>
    <w:p w14:paraId="5C77DCE0" w14:textId="77777777" w:rsidR="00DB5016" w:rsidRDefault="00DB5016" w:rsidP="000C53BC">
      <w:pPr>
        <w:pStyle w:val="Heading2"/>
        <w:spacing w:line="480" w:lineRule="auto"/>
      </w:pPr>
      <w:bookmarkStart w:id="47" w:name="_Toc133020863"/>
      <w:r>
        <w:t>Introduction</w:t>
      </w:r>
      <w:bookmarkEnd w:id="47"/>
    </w:p>
    <w:p w14:paraId="065F715E" w14:textId="6007C4BF" w:rsidR="00EC2B06" w:rsidRPr="00EC2B06" w:rsidRDefault="00EC2B06" w:rsidP="00EC2B06">
      <w:pPr>
        <w:pStyle w:val="NormalWeb"/>
        <w:spacing w:after="158" w:line="480" w:lineRule="auto"/>
        <w:ind w:firstLine="576"/>
        <w:rPr>
          <w:color w:val="000000"/>
        </w:rPr>
      </w:pPr>
      <w:r w:rsidRPr="00EC2B06">
        <w:rPr>
          <w:color w:val="000000"/>
        </w:rPr>
        <w:t xml:space="preserve">In the Fraser River Estuary, the story of shorebirds is not entirely different from the larger narrative of decline in the region. As a sentinel species for estuary function, shorebirds allow the broader public to connect with this incredible landscape and the benefits it delivers to make the region so attractive to so many. Given their brief yet essential stay in the estuary, they illustrate the broader narrative of how interconnected our planet truly is. Without effective coastal governance in sites such as the Fraser River Estuary, the ongoing decline of global biodiversity is almost certain to continue, putting at risk the ecosystems on which humans depend. </w:t>
      </w:r>
    </w:p>
    <w:p w14:paraId="168CC458" w14:textId="77777777" w:rsidR="00EC2B06" w:rsidRPr="00EC2B06" w:rsidRDefault="00EC2B06" w:rsidP="00EC2B06">
      <w:pPr>
        <w:pStyle w:val="NormalWeb"/>
        <w:spacing w:after="158" w:line="480" w:lineRule="auto"/>
        <w:ind w:firstLine="576"/>
        <w:rPr>
          <w:color w:val="000000"/>
        </w:rPr>
      </w:pPr>
      <w:r w:rsidRPr="00EC2B06">
        <w:rPr>
          <w:color w:val="000000"/>
        </w:rPr>
        <w:t xml:space="preserve">Our governance systems must evolve to meet this challenge as our ecological systems become increasingly dynamic amid current and emerging threats. While FREMP encouraged collaboration on the estuary and yielded a governance system more amenable to a changing landscape, not a single interview participant described the governance system as operating well. As evidenced by the willingness of professionals with decades of experience of work on the estuary to speak to an undergraduate researcher on this topic, there is evident goodwill and potential to instigate a positive direction for the management of the estuary. While the task ahead to foster adaptive governance is significant, the passion of these individuals offers optimism for the future of this governance system. </w:t>
      </w:r>
    </w:p>
    <w:p w14:paraId="21F31210" w14:textId="4ACA66E0" w:rsidR="00D36DB2" w:rsidRDefault="00EC2B06" w:rsidP="00EC2B06">
      <w:pPr>
        <w:pStyle w:val="NormalWeb"/>
        <w:spacing w:before="0" w:beforeAutospacing="0" w:after="158" w:afterAutospacing="0" w:line="480" w:lineRule="auto"/>
        <w:ind w:firstLine="576"/>
        <w:rPr>
          <w:color w:val="000000"/>
        </w:rPr>
      </w:pPr>
      <w:r w:rsidRPr="00EC2B06">
        <w:rPr>
          <w:color w:val="000000"/>
        </w:rPr>
        <w:lastRenderedPageBreak/>
        <w:t>In this section, the paper will synthesize the results of the analysis of the capacity for adaptive governance with the existing body of literature on the Fraser River Estuary to present a comprehensive overview of the governance landscape, the challenges it faces, and the paths forward.</w:t>
      </w:r>
      <w:r>
        <w:rPr>
          <w:color w:val="000000"/>
        </w:rPr>
        <w:t xml:space="preserve"> </w:t>
      </w:r>
    </w:p>
    <w:p w14:paraId="5B0AE0D8" w14:textId="2513CAE6" w:rsidR="00DB5016" w:rsidRDefault="00DB5016" w:rsidP="000C53BC">
      <w:pPr>
        <w:pStyle w:val="Heading2"/>
        <w:spacing w:line="480" w:lineRule="auto"/>
      </w:pPr>
      <w:bookmarkStart w:id="48" w:name="_Toc133020864"/>
      <w:r>
        <w:t>Static Governance</w:t>
      </w:r>
      <w:bookmarkEnd w:id="48"/>
    </w:p>
    <w:p w14:paraId="1D590FA2" w14:textId="2DEF10F8" w:rsidR="00EB00AF" w:rsidRPr="00EB00AF" w:rsidRDefault="00EB00AF" w:rsidP="00EB00AF">
      <w:pPr>
        <w:pStyle w:val="NormalWeb"/>
        <w:spacing w:after="158" w:line="480" w:lineRule="auto"/>
        <w:ind w:firstLine="576"/>
        <w:rPr>
          <w:color w:val="000000"/>
        </w:rPr>
      </w:pPr>
      <w:r w:rsidRPr="00EB00AF">
        <w:rPr>
          <w:color w:val="000000"/>
        </w:rPr>
        <w:t xml:space="preserve">Again, the story of the estuary is not particularly unique regarding the broad strokes of its narrative. Our world is increasingly defined by its dynamic, complex nature in all things. Governance structures face the challenge of being relatively rigid entities expected to ride the waves of change that future decades will bring. </w:t>
      </w:r>
    </w:p>
    <w:p w14:paraId="7CB97CD6" w14:textId="77777777" w:rsidR="00EB00AF" w:rsidRPr="00EB00AF" w:rsidRDefault="00EB00AF" w:rsidP="00EB00AF">
      <w:pPr>
        <w:pStyle w:val="NormalWeb"/>
        <w:spacing w:after="158" w:line="480" w:lineRule="auto"/>
        <w:ind w:firstLine="576"/>
        <w:rPr>
          <w:color w:val="000000"/>
        </w:rPr>
      </w:pPr>
      <w:r w:rsidRPr="00EB00AF">
        <w:rPr>
          <w:color w:val="000000"/>
        </w:rPr>
        <w:t>At the beginning of every interview, participants were asked what made the estuary unique. Some pointed out that it is not unique compared to other temperate estuaries worldwide that are frequently the site of large metropolitan centres. Like the Fraser River Estuary, the amount of intact habitat of their sites, or the ecological pie, is declining. However, interview respondents consistently pointed to the fact that in the estuary, governance arrangements have remained largely static and unresponsive to changes around them.</w:t>
      </w:r>
    </w:p>
    <w:p w14:paraId="19817544" w14:textId="10EB1DC8" w:rsidR="000B0F37" w:rsidRDefault="00EB00AF" w:rsidP="00EB00AF">
      <w:pPr>
        <w:pStyle w:val="NormalWeb"/>
        <w:spacing w:before="0" w:beforeAutospacing="0" w:after="158" w:afterAutospacing="0" w:line="480" w:lineRule="auto"/>
        <w:ind w:firstLine="576"/>
      </w:pPr>
      <w:r w:rsidRPr="00EB00AF">
        <w:rPr>
          <w:color w:val="000000"/>
        </w:rPr>
        <w:t xml:space="preserve">As illustrated in Figure 5 below, the governance of the Fraser River Estuary is delineated by mandates and authority with many levels of government engaged. The fragmented governance landscape complicates efforts to adapt the management to suit the evolving context. While such fragmentation is entrenched in the legislation that delineates rights and responsibilities in the estuary, better governance through investing in adaptive governance is highlighted in the results section above. As described by Participant D, "if you carve up the estuary into a bunch of different jurisdictions, and everyone's doing their own thing, and there's no necessity of having a coherent vision that just leads to a bit of a recipe for disaster that we are currently in the middle of." Their description of the status quo of the estuary highlights the opportunity for decision-makers </w:t>
      </w:r>
      <w:r w:rsidRPr="00EB00AF">
        <w:rPr>
          <w:color w:val="000000"/>
        </w:rPr>
        <w:lastRenderedPageBreak/>
        <w:t>and actors throughout the estuary to choose to design for success</w:t>
      </w:r>
      <w:r>
        <w:rPr>
          <w:color w:val="000000"/>
        </w:rPr>
        <w:t xml:space="preserve"> despite</w:t>
      </w:r>
      <w:r w:rsidRPr="00EB00AF">
        <w:rPr>
          <w:color w:val="000000"/>
        </w:rPr>
        <w:t xml:space="preserve"> the parameters of their delineated authority. As threats to the estuary and surrounding communities evolve, governance arrangements must account for change through design. In addition to a governance landscape that keeps pace with the dynamic system it manages, it is important to build in shared accountability mechanisms across different actors to achieve objectives. Across the existing body of research, </w:t>
      </w:r>
      <w:r w:rsidRPr="00EB00AF">
        <w:rPr>
          <w:color w:val="000000"/>
        </w:rPr>
        <w:lastRenderedPageBreak/>
        <w:t xml:space="preserve">there is clear evidence that through the elements listed, diverse governance landscapes can deliver </w:t>
      </w:r>
      <w:r>
        <w:rPr>
          <w:noProof/>
        </w:rPr>
        <mc:AlternateContent>
          <mc:Choice Requires="wps">
            <w:drawing>
              <wp:anchor distT="0" distB="0" distL="114300" distR="114300" simplePos="0" relativeHeight="251672576" behindDoc="0" locked="0" layoutInCell="1" allowOverlap="1" wp14:anchorId="26E24970" wp14:editId="5F28F120">
                <wp:simplePos x="0" y="0"/>
                <wp:positionH relativeFrom="column">
                  <wp:posOffset>-82550</wp:posOffset>
                </wp:positionH>
                <wp:positionV relativeFrom="paragraph">
                  <wp:posOffset>7884160</wp:posOffset>
                </wp:positionV>
                <wp:extent cx="5818505" cy="635"/>
                <wp:effectExtent l="0" t="0" r="0" b="12065"/>
                <wp:wrapTopAndBottom/>
                <wp:docPr id="2017672859" name="Text Box 1"/>
                <wp:cNvGraphicFramePr/>
                <a:graphic xmlns:a="http://schemas.openxmlformats.org/drawingml/2006/main">
                  <a:graphicData uri="http://schemas.microsoft.com/office/word/2010/wordprocessingShape">
                    <wps:wsp>
                      <wps:cNvSpPr txBox="1"/>
                      <wps:spPr>
                        <a:xfrm>
                          <a:off x="0" y="0"/>
                          <a:ext cx="5818505" cy="635"/>
                        </a:xfrm>
                        <a:prstGeom prst="rect">
                          <a:avLst/>
                        </a:prstGeom>
                        <a:solidFill>
                          <a:prstClr val="white"/>
                        </a:solidFill>
                        <a:ln>
                          <a:noFill/>
                        </a:ln>
                      </wps:spPr>
                      <wps:txbx>
                        <w:txbxContent>
                          <w:p w14:paraId="7634E700" w14:textId="58C09948" w:rsidR="00EB00AF" w:rsidRPr="009B6916" w:rsidRDefault="00EB00AF" w:rsidP="00EB00AF">
                            <w:pPr>
                              <w:pStyle w:val="Caption"/>
                              <w:rPr>
                                <w:color w:val="000000"/>
                                <w:sz w:val="22"/>
                                <w:lang w:eastAsia="en-CA"/>
                              </w:rPr>
                            </w:pPr>
                            <w:r>
                              <w:t xml:space="preserve">Figure </w:t>
                            </w:r>
                            <w:r>
                              <w:fldChar w:fldCharType="begin"/>
                            </w:r>
                            <w:r>
                              <w:instrText xml:space="preserve"> SEQ Figure \* ARABIC </w:instrText>
                            </w:r>
                            <w:r>
                              <w:fldChar w:fldCharType="separate"/>
                            </w:r>
                            <w:r>
                              <w:rPr>
                                <w:noProof/>
                              </w:rPr>
                              <w:t>5</w:t>
                            </w:r>
                            <w:r>
                              <w:fldChar w:fldCharType="end"/>
                            </w:r>
                            <w:r>
                              <w:t xml:space="preserve"> </w:t>
                            </w:r>
                            <w:r w:rsidRPr="006A3E60">
                              <w:t>Jurisdiction in Coastal BC. Source: WCEL, 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E24970" id="_x0000_s1030" type="#_x0000_t202" style="position:absolute;left:0;text-align:left;margin-left:-6.5pt;margin-top:620.8pt;width:458.1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" stroked="f">
                <v:textbox style="mso-fit-shape-to-text:t" inset="0,0,0,0">
                  <w:txbxContent>
                    <w:p w14:paraId="7634E700" w14:textId="58C09948" w:rsidR="00EB00AF" w:rsidRPr="009B6916" w:rsidRDefault="00EB00AF" w:rsidP="00EB00AF">
                      <w:pPr>
                        <w:pStyle w:val="Caption"/>
                        <w:rPr>
                          <w:color w:val="000000"/>
                          <w:sz w:val="22"/>
                          <w:lang w:eastAsia="en-CA"/>
                        </w:rPr>
                      </w:pPr>
                      <w:r>
                        <w:t xml:space="preserve">Figure </w:t>
                      </w:r>
                      <w:r>
                        <w:fldChar w:fldCharType="begin"/>
                      </w:r>
                      <w:r>
                        <w:instrText xml:space="preserve"> SEQ Figure \* ARABIC </w:instrText>
                      </w:r>
                      <w:r>
                        <w:fldChar w:fldCharType="separate"/>
                      </w:r>
                      <w:r>
                        <w:rPr>
                          <w:noProof/>
                        </w:rPr>
                        <w:t>5</w:t>
                      </w:r>
                      <w:r>
                        <w:fldChar w:fldCharType="end"/>
                      </w:r>
                      <w:r>
                        <w:t xml:space="preserve"> </w:t>
                      </w:r>
                      <w:r w:rsidRPr="006A3E60">
                        <w:t>Jurisdiction in Coastal BC. Source: WCEL, 2018.</w:t>
                      </w:r>
                    </w:p>
                  </w:txbxContent>
                </v:textbox>
                <w10:wrap type="topAndBottom"/>
              </v:shape>
            </w:pict>
          </mc:Fallback>
        </mc:AlternateContent>
      </w:r>
      <w:r>
        <w:rPr>
          <w:noProof/>
        </w:rPr>
        <w:drawing>
          <wp:anchor distT="0" distB="0" distL="114300" distR="114300" simplePos="0" relativeHeight="251670528" behindDoc="0" locked="0" layoutInCell="1" allowOverlap="1" wp14:anchorId="5D840A87" wp14:editId="2F6BEB9B">
            <wp:simplePos x="0" y="0"/>
            <wp:positionH relativeFrom="column">
              <wp:posOffset>-82550</wp:posOffset>
            </wp:positionH>
            <wp:positionV relativeFrom="paragraph">
              <wp:posOffset>490278</wp:posOffset>
            </wp:positionV>
            <wp:extent cx="5818909" cy="7530234"/>
            <wp:effectExtent l="0" t="0" r="0" b="0"/>
            <wp:wrapTopAndBottom/>
            <wp:docPr id="707510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10082" name="Picture 707510082"/>
                    <pic:cNvPicPr/>
                  </pic:nvPicPr>
                  <pic:blipFill>
                    <a:blip r:embed="rId13">
                      <a:extLst>
                        <a:ext uri="{28A0092B-C50C-407E-A947-70E740481C1C}">
                          <a14:useLocalDpi xmlns:a14="http://schemas.microsoft.com/office/drawing/2010/main" val="0"/>
                        </a:ext>
                      </a:extLst>
                    </a:blip>
                    <a:stretch>
                      <a:fillRect/>
                    </a:stretch>
                  </pic:blipFill>
                  <pic:spPr>
                    <a:xfrm>
                      <a:off x="0" y="0"/>
                      <a:ext cx="5818909" cy="7530234"/>
                    </a:xfrm>
                    <a:prstGeom prst="rect">
                      <a:avLst/>
                    </a:prstGeom>
                  </pic:spPr>
                </pic:pic>
              </a:graphicData>
            </a:graphic>
            <wp14:sizeRelH relativeFrom="page">
              <wp14:pctWidth>0</wp14:pctWidth>
            </wp14:sizeRelH>
            <wp14:sizeRelV relativeFrom="page">
              <wp14:pctHeight>0</wp14:pctHeight>
            </wp14:sizeRelV>
          </wp:anchor>
        </w:drawing>
      </w:r>
      <w:r w:rsidRPr="00EB00AF">
        <w:rPr>
          <w:color w:val="000000"/>
        </w:rPr>
        <w:t>adaptive governance outcomes.</w:t>
      </w:r>
    </w:p>
    <w:p w14:paraId="793758FF" w14:textId="77777777" w:rsidR="00DB5016" w:rsidRDefault="00DB5016" w:rsidP="000C53BC">
      <w:pPr>
        <w:pStyle w:val="Heading2"/>
        <w:spacing w:line="480" w:lineRule="auto"/>
      </w:pPr>
      <w:bookmarkStart w:id="49" w:name="_Toc133020865"/>
      <w:r>
        <w:lastRenderedPageBreak/>
        <w:t>Factors of Change</w:t>
      </w:r>
      <w:bookmarkEnd w:id="49"/>
    </w:p>
    <w:p w14:paraId="5B5E2ACB" w14:textId="5ABF3D0F" w:rsidR="00DB5016" w:rsidRDefault="002B60D7" w:rsidP="005D232A">
      <w:pPr>
        <w:pStyle w:val="NormalWeb"/>
        <w:spacing w:before="0" w:beforeAutospacing="0" w:after="158" w:afterAutospacing="0" w:line="480" w:lineRule="auto"/>
        <w:ind w:firstLine="576"/>
        <w:rPr>
          <w:color w:val="000000"/>
        </w:rPr>
      </w:pPr>
      <w:r w:rsidRPr="002B60D7">
        <w:rPr>
          <w:color w:val="000000"/>
        </w:rPr>
        <w:t xml:space="preserve">Collectively the factors of change at play in the estuary tell a familiar story of coastal squeeze common to similar regions. Specific to the Fraser River Estuary, climate change, population pressures, and Indigenous governance are the three dominating drivers of change. Impacting both the shorebirds and local human communities, the culmination of all these factors results in a system that is increasingly difficult to manage effectively.  </w:t>
      </w:r>
    </w:p>
    <w:p w14:paraId="469C86D6" w14:textId="77777777" w:rsidR="00DB5016" w:rsidRDefault="00DB5016" w:rsidP="000C53BC">
      <w:pPr>
        <w:pStyle w:val="Heading3"/>
        <w:spacing w:line="480" w:lineRule="auto"/>
        <w:rPr>
          <w:color w:val="000000"/>
        </w:rPr>
      </w:pPr>
      <w:bookmarkStart w:id="50" w:name="_Toc133020866"/>
      <w:r>
        <w:rPr>
          <w:color w:val="000000"/>
        </w:rPr>
        <w:t>Climate change</w:t>
      </w:r>
      <w:bookmarkEnd w:id="50"/>
    </w:p>
    <w:p w14:paraId="1F4CE04A" w14:textId="77777777" w:rsidR="00651E7E" w:rsidRDefault="00651E7E" w:rsidP="00651E7E">
      <w:pPr>
        <w:pStyle w:val="Heading3"/>
        <w:numPr>
          <w:ilvl w:val="0"/>
          <w:numId w:val="0"/>
        </w:numPr>
        <w:spacing w:line="480" w:lineRule="auto"/>
        <w:rPr>
          <w:rFonts w:ascii="Times New Roman" w:hAnsi="Times New Roman" w:cs="Times New Roman"/>
          <w:b w:val="0"/>
          <w:iCs w:val="0"/>
          <w:color w:val="000000"/>
          <w:spacing w:val="0"/>
          <w:szCs w:val="22"/>
          <w:lang w:eastAsia="en-CA"/>
        </w:rPr>
      </w:pPr>
      <w:bookmarkStart w:id="51" w:name="_Toc133020867"/>
      <w:r w:rsidRPr="00651E7E">
        <w:rPr>
          <w:rFonts w:ascii="Times New Roman" w:hAnsi="Times New Roman" w:cs="Times New Roman"/>
          <w:b w:val="0"/>
          <w:iCs w:val="0"/>
          <w:color w:val="000000"/>
          <w:spacing w:val="0"/>
          <w:szCs w:val="22"/>
          <w:lang w:eastAsia="en-CA"/>
        </w:rPr>
        <w:t xml:space="preserve">As discussed in the literature review section, the exact details of how climate change will impact the region are uncertain, but what is known indicates a serious need for the region to adapt to evolving climate conditions as soon as possible. All interview participants indicated concern about climate change's impact on the region, particularly when it comes to coastal flooding following extreme weather events. Specific to the estuary, the coastal zone would typically move with the water over time. As a result of development limiting the movement of the coastal zone, as described by the coastal squeeze, natural processes cannot occur. In addition, participants from a scientific noted the emerging concern that the broader impacts of climate change on freshet and the conditions of the estuary in the spring on the production of biofilm that the shorebirds rely upon. This concern is not yet backed up by peer-reviewed evidence, but according to Participant C and Participant G, it is an evolving theory being considered. </w:t>
      </w:r>
    </w:p>
    <w:p w14:paraId="28CFEF94" w14:textId="187A1A3A" w:rsidR="00DB5016" w:rsidRPr="00651E7E" w:rsidRDefault="00DB5016" w:rsidP="00651E7E">
      <w:pPr>
        <w:pStyle w:val="Heading3"/>
        <w:spacing w:line="480" w:lineRule="auto"/>
        <w:rPr>
          <w:color w:val="000000"/>
        </w:rPr>
      </w:pPr>
      <w:r>
        <w:rPr>
          <w:color w:val="000000"/>
        </w:rPr>
        <w:t>Carrying Capacity of Region</w:t>
      </w:r>
      <w:bookmarkEnd w:id="51"/>
    </w:p>
    <w:p w14:paraId="327E3361" w14:textId="79515901" w:rsidR="00651E7E" w:rsidRPr="00651E7E" w:rsidRDefault="00DB5016" w:rsidP="00651E7E">
      <w:pPr>
        <w:spacing w:line="480" w:lineRule="auto"/>
        <w:rPr>
          <w:color w:val="000000"/>
          <w:lang w:eastAsia="en-CA"/>
        </w:rPr>
      </w:pPr>
      <w:r>
        <w:rPr>
          <w:color w:val="000000"/>
          <w:lang w:eastAsia="en-CA"/>
        </w:rPr>
        <w:t>The</w:t>
      </w:r>
      <w:r w:rsidR="00651E7E" w:rsidRPr="00651E7E">
        <w:rPr>
          <w:color w:val="000000"/>
          <w:lang w:eastAsia="en-CA"/>
        </w:rPr>
        <w:t xml:space="preserve"> Lower Mainland region has experienced significant urbanization over the last half-century. It continues to be a hotspot for population growth in Canada, as evidenced by the literature review and highlighted by most interview participants. As the ecosystems continue their degradation trend since settlement, the question must be asked about at what cost that growth </w:t>
      </w:r>
      <w:r w:rsidR="00651E7E" w:rsidRPr="00651E7E">
        <w:rPr>
          <w:color w:val="000000"/>
          <w:lang w:eastAsia="en-CA"/>
        </w:rPr>
        <w:lastRenderedPageBreak/>
        <w:t>comes. There is clear evidence across the literature indicating how difficult it is to recreate estuarine habitat once lost, as addressed in section 2.21. When decisions are made about what proposed projects to approve, there needs to be a clear strategic direction for future growth to ensure that external pressures like those of the shipping industry do not undermine the ecosystem's ability to continue to provide ecosystem services to current and future citizens.</w:t>
      </w:r>
    </w:p>
    <w:p w14:paraId="4C26D057" w14:textId="2E85EF53" w:rsidR="00DB5016" w:rsidRDefault="00651E7E" w:rsidP="00651E7E">
      <w:pPr>
        <w:spacing w:line="480" w:lineRule="auto"/>
      </w:pPr>
      <w:r w:rsidRPr="00651E7E">
        <w:rPr>
          <w:color w:val="000000"/>
          <w:lang w:eastAsia="en-CA"/>
        </w:rPr>
        <w:t xml:space="preserve">Similarly, this site is unique in how critical it is to the survival of shorebird species, particularly the Western Sandpiper. Amid the body of literature that has emerged to consider the carrying capacity of a region, Kate Raworth's doughnut economics model presents the "ecologically safe and socially just space in which all of humanity has the chance to thrive" considering the planetary boundaries established by (Raworth, </w:t>
      </w:r>
      <w:proofErr w:type="gramStart"/>
      <w:r w:rsidRPr="00651E7E">
        <w:rPr>
          <w:color w:val="000000"/>
          <w:lang w:eastAsia="en-CA"/>
        </w:rPr>
        <w:t>2017:e</w:t>
      </w:r>
      <w:proofErr w:type="gramEnd"/>
      <w:r w:rsidRPr="00651E7E">
        <w:rPr>
          <w:color w:val="000000"/>
          <w:lang w:eastAsia="en-CA"/>
        </w:rPr>
        <w:t>48). In considering the future strategic growth of the region, the needs of shorebird species must be considered an essential portion of the doughnut, meriting full consideration as the region's future growth as sentinel species alongside the estuary in its entirety.</w:t>
      </w:r>
    </w:p>
    <w:p w14:paraId="08136FB4" w14:textId="77777777" w:rsidR="00DB5016" w:rsidRDefault="00DB5016" w:rsidP="000C53BC">
      <w:pPr>
        <w:pStyle w:val="Heading3"/>
        <w:spacing w:line="480" w:lineRule="auto"/>
      </w:pPr>
      <w:bookmarkStart w:id="52" w:name="_Toc133020868"/>
      <w:r>
        <w:rPr>
          <w:color w:val="000000"/>
        </w:rPr>
        <w:t>Evolving role of Indigenous Authorities</w:t>
      </w:r>
      <w:bookmarkEnd w:id="52"/>
      <w:r>
        <w:rPr>
          <w:color w:val="000000"/>
        </w:rPr>
        <w:t xml:space="preserve"> </w:t>
      </w:r>
    </w:p>
    <w:p w14:paraId="5BA2ACD9" w14:textId="3C9553C5" w:rsidR="00DB5016" w:rsidRPr="005D232A" w:rsidRDefault="00DB5016" w:rsidP="005D232A">
      <w:pPr>
        <w:spacing w:line="480" w:lineRule="auto"/>
        <w:rPr>
          <w:color w:val="000000"/>
          <w:lang w:eastAsia="en-CA"/>
        </w:rPr>
      </w:pPr>
      <w:r w:rsidRPr="00B67145">
        <w:rPr>
          <w:color w:val="000000"/>
          <w:lang w:eastAsia="en-CA"/>
        </w:rPr>
        <w:t>Over</w:t>
      </w:r>
      <w:r w:rsidR="00651E7E" w:rsidRPr="00651E7E">
        <w:rPr>
          <w:color w:val="000000"/>
          <w:lang w:eastAsia="en-CA"/>
        </w:rPr>
        <w:t xml:space="preserve"> the last two decades, Indigenous leadership on environmental governance has experienced a resurgence. While they have been stewards of the Estuary since time immemorial, interview participants consistently noted how the recent ratification of UNDRIP at the federal level and DRIPA at the provincial level providing the legal basis for Indigenous authority as outlined by the international standard had added significant weight to the role of Indigenous nations in environmental governance. As Indigenous nations rise to meet the role they have historically held as guardians of their territories, participants highlighted that the landscape is adjusting to their role as authorities in the decision-making process, not stakeholders. Similarly, in the estuary, </w:t>
      </w:r>
      <w:proofErr w:type="gramStart"/>
      <w:r w:rsidR="00651E7E" w:rsidRPr="00651E7E">
        <w:rPr>
          <w:color w:val="000000"/>
          <w:lang w:eastAsia="en-CA"/>
        </w:rPr>
        <w:t>the majority of</w:t>
      </w:r>
      <w:proofErr w:type="gramEnd"/>
      <w:r w:rsidR="00651E7E" w:rsidRPr="00651E7E">
        <w:rPr>
          <w:color w:val="000000"/>
          <w:lang w:eastAsia="en-CA"/>
        </w:rPr>
        <w:t xml:space="preserve"> interview participants emphasized the increasing importance of the approval of local First Nations in guiding objectives at a high level. At IMPAC5, the leadership of Coastal First Nations was vital in announcing a developing network of marine protected areas </w:t>
      </w:r>
      <w:r w:rsidR="00651E7E" w:rsidRPr="00651E7E">
        <w:rPr>
          <w:color w:val="000000"/>
          <w:lang w:eastAsia="en-CA"/>
        </w:rPr>
        <w:lastRenderedPageBreak/>
        <w:t xml:space="preserve">in the Great Bear Sea. As Participant F described, increasingly, the rights of Indigenous peoples to self-determination are being </w:t>
      </w:r>
      <w:proofErr w:type="spellStart"/>
      <w:r w:rsidR="00651E7E" w:rsidRPr="00651E7E">
        <w:rPr>
          <w:color w:val="000000"/>
          <w:lang w:eastAsia="en-CA"/>
        </w:rPr>
        <w:t>centred</w:t>
      </w:r>
      <w:proofErr w:type="spellEnd"/>
      <w:r w:rsidR="00651E7E" w:rsidRPr="00651E7E">
        <w:rPr>
          <w:color w:val="000000"/>
          <w:lang w:eastAsia="en-CA"/>
        </w:rPr>
        <w:t xml:space="preserve"> as they are given the authority to set the table to which colonial governments come, in contrast to the historically opposite scenario. Participant K echoed that view, stating, "we've had Indigenous leadership for quite some time, and I think now, with UNDRIP and an increasing understanding of what reconciliation looks like in action, I think the provincial and federal governments are coming to the table."</w:t>
      </w:r>
    </w:p>
    <w:p w14:paraId="0ACDE2C4" w14:textId="77777777" w:rsidR="00DB5016" w:rsidRDefault="00DB5016" w:rsidP="000C53BC">
      <w:pPr>
        <w:pStyle w:val="Heading2"/>
        <w:spacing w:line="480" w:lineRule="auto"/>
      </w:pPr>
      <w:bookmarkStart w:id="53" w:name="_Toc133020869"/>
      <w:r>
        <w:t>Challenges to Adaptive Governance</w:t>
      </w:r>
      <w:bookmarkEnd w:id="53"/>
    </w:p>
    <w:p w14:paraId="17813C31" w14:textId="77777777" w:rsidR="00DB5016" w:rsidRDefault="00DB5016" w:rsidP="000C53BC">
      <w:pPr>
        <w:pStyle w:val="Heading3"/>
        <w:spacing w:line="480" w:lineRule="auto"/>
        <w:rPr>
          <w:color w:val="000000"/>
        </w:rPr>
      </w:pPr>
      <w:bookmarkStart w:id="54" w:name="_Toc133020870"/>
      <w:r>
        <w:rPr>
          <w:color w:val="000000"/>
        </w:rPr>
        <w:t>Lack of Shared Objectives</w:t>
      </w:r>
      <w:bookmarkEnd w:id="54"/>
    </w:p>
    <w:p w14:paraId="697F1B3F" w14:textId="78FC663F" w:rsidR="00FF3478" w:rsidRPr="00FF3478" w:rsidRDefault="00DB5016" w:rsidP="00FF3478">
      <w:pPr>
        <w:pStyle w:val="NormalWeb"/>
        <w:spacing w:after="158" w:line="480" w:lineRule="auto"/>
        <w:ind w:firstLine="720"/>
        <w:rPr>
          <w:color w:val="000000"/>
        </w:rPr>
      </w:pPr>
      <w:r>
        <w:rPr>
          <w:color w:val="000000"/>
        </w:rPr>
        <w:t>On</w:t>
      </w:r>
      <w:bookmarkStart w:id="55" w:name="_Toc133020871"/>
      <w:r w:rsidR="00FF3478" w:rsidRPr="00FF3478">
        <w:rPr>
          <w:color w:val="000000"/>
        </w:rPr>
        <w:t xml:space="preserve"> a broad scale across the estuary, as identified by the interviews, actors lack a shared vision and set of objectives to unify their efforts. To use a metaphor from the west coast to reach the intended destination, the actors must establish a shared vision that everyone can paddle towards. While there is significant potential for cohesion between actors to unify the fragmented governance landscape, without such shared objectives, the potential of the forces of cohesion is squandered. As each organization paddles in their canoe according to its specific mandate, the lack of collaboration comes at the price of a lack of efficiency. Many organizations across the estuary have overlapping interests that make their collaboration logical. However, without a mandate to instigate that collaboration, it is unlikely that many will because of the groundwork required to build those partnerships. </w:t>
      </w:r>
    </w:p>
    <w:p w14:paraId="4C451CF2" w14:textId="77777777" w:rsidR="00FF3478" w:rsidRPr="00FF3478" w:rsidRDefault="00FF3478" w:rsidP="00FF3478">
      <w:pPr>
        <w:pStyle w:val="NormalWeb"/>
        <w:spacing w:after="158" w:line="480" w:lineRule="auto"/>
        <w:ind w:firstLine="720"/>
        <w:rPr>
          <w:color w:val="000000"/>
        </w:rPr>
      </w:pPr>
      <w:r w:rsidRPr="00FF3478">
        <w:rPr>
          <w:color w:val="000000"/>
        </w:rPr>
        <w:t xml:space="preserve">Many of the interview participants with a background in ecological restoration and NGO organizations referred to the concept of the estuary as an ecological pie that has consistently decreased over the last century despite management efforts. In managing the metaphorical pie, it is often decided through impact assessments and similar processes that a slice can be lost in the name of economic growth that will benefit the larger region. Through the process of FREMP, </w:t>
      </w:r>
      <w:r w:rsidRPr="00FF3478">
        <w:rPr>
          <w:color w:val="000000"/>
        </w:rPr>
        <w:lastRenderedPageBreak/>
        <w:t xml:space="preserve">there was an explicit setting for such discussion to take place and where the portioning of the pie could be discussed, and objectives could be set. Adaptive management calls for the link between knowledge and decision-making that allows for emerging knowledge to inform management, allowing best practices to evolve in parallel with scientific evidence. In the estuary, such adaptive decision-making is critical with the emerging research on the biofilm that the shorebirds rely on. By using emerging scientific evidence to inform shared objectives for estuary management, actors can find a shared vision to direct their work towards. The importance of shared objectives is emphasized by the failure of </w:t>
      </w:r>
      <w:proofErr w:type="gramStart"/>
      <w:r w:rsidRPr="00FF3478">
        <w:rPr>
          <w:color w:val="000000"/>
        </w:rPr>
        <w:t>the majority of</w:t>
      </w:r>
      <w:proofErr w:type="gramEnd"/>
      <w:r w:rsidRPr="00FF3478">
        <w:rPr>
          <w:color w:val="000000"/>
        </w:rPr>
        <w:t xml:space="preserve"> compensation sites to fulfill their intended purpose to offset the loss of riparian habitat leading to only one-third of sites established delivering according to the principles of no-net loss required under the FREMP framework (</w:t>
      </w:r>
      <w:proofErr w:type="spellStart"/>
      <w:r w:rsidRPr="00FF3478">
        <w:rPr>
          <w:color w:val="000000"/>
        </w:rPr>
        <w:t>Lievesley</w:t>
      </w:r>
      <w:proofErr w:type="spellEnd"/>
      <w:r w:rsidRPr="00FF3478">
        <w:rPr>
          <w:color w:val="000000"/>
        </w:rPr>
        <w:t xml:space="preserve"> et al., 2016). By setting clear objectives and implementing accountability mechanisms, you create the groundwork to better steer the estuary to the vision many of the interview participants spoke of. </w:t>
      </w:r>
    </w:p>
    <w:p w14:paraId="6291F022" w14:textId="127460AF" w:rsidR="00DB5016" w:rsidRDefault="00FF3478" w:rsidP="00FF3478">
      <w:pPr>
        <w:pStyle w:val="NormalWeb"/>
        <w:spacing w:before="0" w:beforeAutospacing="0" w:after="158" w:afterAutospacing="0" w:line="480" w:lineRule="auto"/>
        <w:ind w:firstLine="720"/>
        <w:rPr>
          <w:color w:val="000000"/>
        </w:rPr>
      </w:pPr>
      <w:r w:rsidRPr="00FF3478">
        <w:rPr>
          <w:color w:val="000000"/>
        </w:rPr>
        <w:t xml:space="preserve">The urgency for the infrastructure required to prepare for that future is apparent within the lifetime of many that are already alive today. At the regional level, municipalities have been directed by the province to prepare for one metre of sea level rise by the end of the century (British Columbia Ministry of Environment, 2013). Given the scale of investment that will be required to prepare for that transition, by creating shared objectives for the region, the actors could set the stage for broad benefits to the coastal resilience of the region. For instance, the region could increase the likelihood of delivering co-benefits by setting clear objectives to preserve natural shorelines, including the mudflats the shorebirds rely upon. By clearly including ecological resilience in the objective of coastal resilience, this regional mandate is more likely to deliver positive benefits for all that rely on the estuary.  </w:t>
      </w:r>
      <w:r w:rsidR="00DB5016">
        <w:rPr>
          <w:color w:val="000000"/>
        </w:rPr>
        <w:t>Sub-optimal Governance</w:t>
      </w:r>
      <w:bookmarkEnd w:id="55"/>
    </w:p>
    <w:p w14:paraId="13B633BA" w14:textId="4711CB3C" w:rsidR="00DB5016" w:rsidRDefault="00CB589A" w:rsidP="00F07C13">
      <w:pPr>
        <w:pStyle w:val="NormalWeb"/>
        <w:spacing w:before="0" w:beforeAutospacing="0" w:after="158" w:afterAutospacing="0" w:line="480" w:lineRule="auto"/>
        <w:ind w:firstLine="720"/>
        <w:rPr>
          <w:color w:val="000000"/>
        </w:rPr>
      </w:pPr>
      <w:r>
        <w:rPr>
          <w:color w:val="000000"/>
        </w:rPr>
        <w:t xml:space="preserve">Regardless of the shared view expressed by many interview participants that provided evidence for a demand for shared objectives, the absence of an integrative governance mechanism to establish and implement such objectives is clear. </w:t>
      </w:r>
      <w:r w:rsidR="00DB5016">
        <w:rPr>
          <w:color w:val="000000"/>
        </w:rPr>
        <w:t xml:space="preserve">As articulated by the adaptive governance </w:t>
      </w:r>
      <w:r w:rsidR="00DB5016">
        <w:rPr>
          <w:color w:val="000000"/>
        </w:rPr>
        <w:lastRenderedPageBreak/>
        <w:t xml:space="preserve">framework used for this study, a key element of adaptive governance is coordination, which ideally occurs through a central hub intended to facilitate it. At a high level, coordination includes the co-creation of shared objectives that the various actors engaged in the governance system can collectively work towards. Without the central hub that FREMP once was, there is no single, established mechanism to set shared objectives for the management of the estuary. </w:t>
      </w:r>
    </w:p>
    <w:p w14:paraId="4FEB2536" w14:textId="3060CD5A" w:rsidR="00DB5016" w:rsidRDefault="00F07C13" w:rsidP="00F07C13">
      <w:pPr>
        <w:pStyle w:val="NormalWeb"/>
        <w:spacing w:before="0" w:beforeAutospacing="0" w:after="158" w:afterAutospacing="0" w:line="480" w:lineRule="auto"/>
        <w:ind w:firstLine="720"/>
        <w:rPr>
          <w:color w:val="000000"/>
        </w:rPr>
      </w:pPr>
      <w:r>
        <w:rPr>
          <w:color w:val="000000"/>
        </w:rPr>
        <w:t>While the extent</w:t>
      </w:r>
      <w:r w:rsidR="00DB5016">
        <w:rPr>
          <w:color w:val="000000"/>
        </w:rPr>
        <w:t xml:space="preserve"> of their experience</w:t>
      </w:r>
      <w:r>
        <w:rPr>
          <w:color w:val="000000"/>
        </w:rPr>
        <w:t>s working in the estuary varied</w:t>
      </w:r>
      <w:r w:rsidR="00DB5016">
        <w:rPr>
          <w:color w:val="000000"/>
        </w:rPr>
        <w:t>, every single interview participant was aware of FREMP and recognized the importance of its presence in the management of the estuary. While it had shortcomings including</w:t>
      </w:r>
      <w:r w:rsidR="00DB5016" w:rsidRPr="003F2FEA">
        <w:rPr>
          <w:color w:val="000000"/>
        </w:rPr>
        <w:t xml:space="preserve"> no Indigenous</w:t>
      </w:r>
      <w:r w:rsidR="00DB5016">
        <w:rPr>
          <w:color w:val="000000"/>
        </w:rPr>
        <w:t xml:space="preserve"> representation and the lack of ratification in law, it did provide a governance mechanism through which diverse actors were able to come together on a regular basis to discuss shared priorities for the estuary and set clear objectives to guide management. In addition, through the coordination of work, there is significant potential to contribute to cost-savings by reducing work that overlaps (Kehoe et al., 2021). </w:t>
      </w:r>
    </w:p>
    <w:p w14:paraId="0AFF5CC4" w14:textId="18BF2018" w:rsidR="00DB5016" w:rsidRDefault="00946768" w:rsidP="00F07C13">
      <w:pPr>
        <w:pStyle w:val="NormalWeb"/>
        <w:spacing w:before="0" w:beforeAutospacing="0" w:after="158" w:afterAutospacing="0" w:line="480" w:lineRule="auto"/>
        <w:ind w:firstLine="504"/>
        <w:rPr>
          <w:color w:val="000000"/>
        </w:rPr>
      </w:pPr>
      <w:r>
        <w:rPr>
          <w:color w:val="000000"/>
        </w:rPr>
        <w:t xml:space="preserve">The creation of a new iteration of FREMP seems particularly important today given the concern </w:t>
      </w:r>
      <w:r w:rsidR="00DB5016">
        <w:rPr>
          <w:color w:val="000000"/>
        </w:rPr>
        <w:t xml:space="preserve">expressed from environmental NGOs and Indigenous communities over the proposed Roberts Bank Terminal 2 expansion project with the Salish Sea Indigenous Guardians Association going as far as to request that the federal Minister of the Environment order a regional assessment </w:t>
      </w:r>
      <w:r>
        <w:rPr>
          <w:color w:val="000000"/>
        </w:rPr>
        <w:t xml:space="preserve">of the project </w:t>
      </w:r>
      <w:r w:rsidR="00DB5016">
        <w:rPr>
          <w:color w:val="000000"/>
        </w:rPr>
        <w:t>(</w:t>
      </w:r>
      <w:sdt>
        <w:sdtPr>
          <w:rPr>
            <w:color w:val="000000"/>
          </w:rPr>
          <w:tag w:val="MENDELEY_CITATION_v3_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"/>
          <w:id w:val="-825350745"/>
          <w:placeholder>
            <w:docPart w:val="4602EA6811BD4F43A7D3C0312E6187A7"/>
          </w:placeholder>
        </w:sdtPr>
        <w:sdtContent>
          <w:r w:rsidR="00DB5016" w:rsidRPr="00991ABB">
            <w:rPr>
              <w:color w:val="000000"/>
            </w:rPr>
            <w:t>SSIGA, 2022)</w:t>
          </w:r>
          <w:r w:rsidR="00DB5016">
            <w:rPr>
              <w:color w:val="000000"/>
            </w:rPr>
            <w:t>.</w:t>
          </w:r>
        </w:sdtContent>
      </w:sdt>
      <w:r w:rsidR="00DB5016">
        <w:rPr>
          <w:color w:val="000000"/>
        </w:rPr>
        <w:t xml:space="preserve"> Given the uncertainty on how the estuary will be impacted by current and emerging threats as a highly complex ecosystem, it is logical to encourage a collective discussion through impact assessment processes to ensure that cumulative impacts are fully considered. Similarly, with the uncertainty around the processes through which biofilm is produced, it again makes sense to broaden the circle of players at the table rather than fewer at their individual desks to share knowledge amongst practitioners. </w:t>
      </w:r>
    </w:p>
    <w:p w14:paraId="01967E02" w14:textId="36633103" w:rsidR="00DB5016" w:rsidRPr="00053834" w:rsidRDefault="00DB5016" w:rsidP="000C53BC">
      <w:pPr>
        <w:spacing w:line="480" w:lineRule="auto"/>
        <w:rPr>
          <w:color w:val="000000"/>
          <w:lang w:eastAsia="en-CA"/>
        </w:rPr>
      </w:pPr>
      <w:r w:rsidRPr="00053834">
        <w:rPr>
          <w:color w:val="000000"/>
          <w:lang w:eastAsia="en-CA"/>
        </w:rPr>
        <w:t xml:space="preserve">In addition, some interview participants suggested that a future governance structure might have better longevity if it were ratified into law. While ratification is a high bar with significant </w:t>
      </w:r>
      <w:r w:rsidRPr="00053834">
        <w:rPr>
          <w:color w:val="000000"/>
          <w:lang w:eastAsia="en-CA"/>
        </w:rPr>
        <w:lastRenderedPageBreak/>
        <w:t xml:space="preserve">challenges to overcome, it would afford a future structure greater permanence than what FREMP had. </w:t>
      </w:r>
    </w:p>
    <w:p w14:paraId="056CCC0D" w14:textId="6A65CCE8" w:rsidR="00DB5016" w:rsidRDefault="00DB5016" w:rsidP="000C53BC">
      <w:pPr>
        <w:pStyle w:val="Heading3"/>
        <w:spacing w:line="480" w:lineRule="auto"/>
        <w:rPr>
          <w:color w:val="000000"/>
        </w:rPr>
      </w:pPr>
      <w:bookmarkStart w:id="56" w:name="_Toc133020872"/>
      <w:r>
        <w:rPr>
          <w:color w:val="000000"/>
        </w:rPr>
        <w:t xml:space="preserve">Minimal Public Awareness and </w:t>
      </w:r>
      <w:r w:rsidR="00945F5C">
        <w:rPr>
          <w:color w:val="000000"/>
        </w:rPr>
        <w:t>S</w:t>
      </w:r>
      <w:r>
        <w:rPr>
          <w:color w:val="000000"/>
        </w:rPr>
        <w:t>upport</w:t>
      </w:r>
      <w:bookmarkEnd w:id="56"/>
    </w:p>
    <w:p w14:paraId="2C924EF1" w14:textId="23913BBC" w:rsidR="00CE24DE" w:rsidRPr="00CE24DE" w:rsidRDefault="00DB5016" w:rsidP="00CE24DE">
      <w:pPr>
        <w:pStyle w:val="NormalWeb"/>
        <w:spacing w:after="158" w:line="480" w:lineRule="auto"/>
        <w:ind w:firstLine="720"/>
        <w:rPr>
          <w:color w:val="000000"/>
        </w:rPr>
      </w:pPr>
      <w:proofErr w:type="gramStart"/>
      <w:r>
        <w:rPr>
          <w:color w:val="000000"/>
        </w:rPr>
        <w:t>In</w:t>
      </w:r>
      <w:r w:rsidR="00CE24DE" w:rsidRPr="00CE24DE">
        <w:rPr>
          <w:color w:val="000000"/>
        </w:rPr>
        <w:t xml:space="preserve"> order to</w:t>
      </w:r>
      <w:proofErr w:type="gramEnd"/>
      <w:r w:rsidR="00CE24DE" w:rsidRPr="00CE24DE">
        <w:rPr>
          <w:color w:val="000000"/>
        </w:rPr>
        <w:t xml:space="preserve"> protect the estuary for the good of present and future generations, it is essential that the public be aware of its importance and be empowered as stewards of their shared home. As many interview participants stated, without the necessary public recognition and support for a governance system in the estuary, sustaining the required innovation in governance for adaptive governance of the estuary will not be possible. As alluded to in section 4.2.4, the minimal public awareness and support also place into question the longevity of any governance structure proposed </w:t>
      </w:r>
      <w:proofErr w:type="gramStart"/>
      <w:r w:rsidR="00CE24DE" w:rsidRPr="00CE24DE">
        <w:rPr>
          <w:color w:val="000000"/>
        </w:rPr>
        <w:t>in the near future</w:t>
      </w:r>
      <w:proofErr w:type="gramEnd"/>
      <w:r w:rsidR="00CE24DE" w:rsidRPr="00CE24DE">
        <w:rPr>
          <w:color w:val="000000"/>
        </w:rPr>
        <w:t xml:space="preserve">. </w:t>
      </w:r>
    </w:p>
    <w:p w14:paraId="03EB4D18" w14:textId="77777777" w:rsidR="00CE24DE" w:rsidRPr="00CE24DE" w:rsidRDefault="00CE24DE" w:rsidP="00CE24DE">
      <w:pPr>
        <w:pStyle w:val="NormalWeb"/>
        <w:spacing w:after="158" w:line="480" w:lineRule="auto"/>
        <w:ind w:firstLine="720"/>
        <w:rPr>
          <w:color w:val="000000"/>
        </w:rPr>
      </w:pPr>
      <w:r w:rsidRPr="00CE24DE">
        <w:rPr>
          <w:color w:val="000000"/>
        </w:rPr>
        <w:t xml:space="preserve">While many avenues exist to improve public awareness and engagement in coastal conservation, </w:t>
      </w:r>
      <w:proofErr w:type="gramStart"/>
      <w:r w:rsidRPr="00CE24DE">
        <w:rPr>
          <w:color w:val="000000"/>
        </w:rPr>
        <w:t>it is clear that it</w:t>
      </w:r>
      <w:proofErr w:type="gramEnd"/>
      <w:r w:rsidRPr="00CE24DE">
        <w:rPr>
          <w:color w:val="000000"/>
        </w:rPr>
        <w:t xml:space="preserve"> needs to reach the level of community empowerment where citizens take ownership of their role in caring for and advocating for the Fraser River Estuary’s lasting well-being. As a sentinel species for the larger well-being of the estuary and a visible beneficiary of biofilm production, shorebirds can allow the average citizen an avenue into coastal conservation. </w:t>
      </w:r>
    </w:p>
    <w:p w14:paraId="3BFB389D" w14:textId="15AD68DA" w:rsidR="00DB5016" w:rsidRPr="008E4144" w:rsidRDefault="00CE24DE" w:rsidP="00CE24DE">
      <w:pPr>
        <w:pStyle w:val="NormalWeb"/>
        <w:spacing w:before="0" w:beforeAutospacing="0" w:after="158" w:afterAutospacing="0" w:line="480" w:lineRule="auto"/>
        <w:ind w:firstLine="720"/>
        <w:rPr>
          <w:color w:val="000000"/>
        </w:rPr>
      </w:pPr>
      <w:r w:rsidRPr="00CE24DE">
        <w:rPr>
          <w:color w:val="000000"/>
        </w:rPr>
        <w:t xml:space="preserve">All interview participants were asked how they defined resilience. Several noted that beyond the structural resilience of infrastructure and the ecological resilience of the ecosystem, it is vital to consider the community’s resilience in the face of the increasing threats their community will face. By creating a resilient foundation in the local environment, actors can set the stage for a resilient community in the face of existing and emerging pressures. Within the local community, the work of increasing public awareness can also carry the benefit of empowering citizens to become active stewards of the conservation of the estuary. As such, increasing public awareness and </w:t>
      </w:r>
      <w:r w:rsidRPr="00CE24DE">
        <w:rPr>
          <w:color w:val="000000"/>
        </w:rPr>
        <w:lastRenderedPageBreak/>
        <w:t>strengthening public support, it would also serve to improve the resilience of the local community, as Participant H, Participant K and Participant A described</w:t>
      </w:r>
      <w:r w:rsidR="00BB6A05">
        <w:rPr>
          <w:color w:val="000000"/>
        </w:rPr>
        <w:t xml:space="preserve">. </w:t>
      </w:r>
    </w:p>
    <w:p w14:paraId="2FB7A77E" w14:textId="038CE107" w:rsidR="00DB5016" w:rsidRDefault="00DB5016" w:rsidP="000C53BC">
      <w:pPr>
        <w:pStyle w:val="Heading3"/>
        <w:spacing w:line="480" w:lineRule="auto"/>
        <w:rPr>
          <w:color w:val="000000"/>
        </w:rPr>
      </w:pPr>
      <w:bookmarkStart w:id="57" w:name="_Toc133020873"/>
      <w:r>
        <w:rPr>
          <w:color w:val="000000"/>
        </w:rPr>
        <w:t xml:space="preserve">Need for Significant </w:t>
      </w:r>
      <w:r w:rsidR="003F2FEA">
        <w:rPr>
          <w:color w:val="000000"/>
        </w:rPr>
        <w:t>F</w:t>
      </w:r>
      <w:r>
        <w:rPr>
          <w:color w:val="000000"/>
        </w:rPr>
        <w:t xml:space="preserve">inancial and </w:t>
      </w:r>
      <w:r w:rsidR="003F2FEA">
        <w:rPr>
          <w:color w:val="000000"/>
        </w:rPr>
        <w:t>H</w:t>
      </w:r>
      <w:r>
        <w:rPr>
          <w:color w:val="000000"/>
        </w:rPr>
        <w:t xml:space="preserve">uman </w:t>
      </w:r>
      <w:r w:rsidR="003F2FEA">
        <w:rPr>
          <w:color w:val="000000"/>
        </w:rPr>
        <w:t>C</w:t>
      </w:r>
      <w:r>
        <w:rPr>
          <w:color w:val="000000"/>
        </w:rPr>
        <w:t>apital</w:t>
      </w:r>
      <w:bookmarkEnd w:id="57"/>
    </w:p>
    <w:p w14:paraId="5D00B6FD" w14:textId="59F3DF3A" w:rsidR="00CE24DE" w:rsidRPr="00CE24DE" w:rsidRDefault="00DB5016" w:rsidP="00CE24DE">
      <w:pPr>
        <w:pStyle w:val="NormalWeb"/>
        <w:spacing w:after="158" w:line="480" w:lineRule="auto"/>
        <w:ind w:firstLine="720"/>
        <w:rPr>
          <w:color w:val="000000"/>
        </w:rPr>
      </w:pPr>
      <w:r>
        <w:rPr>
          <w:color w:val="000000"/>
        </w:rPr>
        <w:t>A</w:t>
      </w:r>
      <w:r w:rsidR="00CE24DE" w:rsidRPr="00CE24DE">
        <w:rPr>
          <w:color w:val="000000"/>
        </w:rPr>
        <w:t xml:space="preserve"> governance structure needs significant, stable funding and support to execute its mission successfully. As identified by a monumental study on the governance of the Fraser River Estuary, significant funding is required to finance the active management of the estuary to prevent the extirpation of 102 species given the trajectory of decline in the estuary (Kehoe et al., 2021). Specifically, they recommended $381 million CAD over 25 years, representing a large-scale assessment (Kehoe et al., 2021). However, the federal government has made large-scale investments in freshwater in the most recent budget, including an additional $433 million CAD to existing investments, including financing for the new Canada Water Agency, demonstrating a commitment to funding water governance (Department of Finance, 2023:134-135). Beyond public funds, some of the financial capital to support the management of the estuary should come from industry, given the significance of their presence in the region. Some of this funding could be used to help fund an annual gathering to facilitate social learning opportunities that can help foster the development of elements of adaptive governance like social capital, collaboration, and capacity development. </w:t>
      </w:r>
    </w:p>
    <w:p w14:paraId="4FE21E1D" w14:textId="7BC79D6B" w:rsidR="00DB5016" w:rsidRDefault="00CE24DE" w:rsidP="00CE24DE">
      <w:pPr>
        <w:pStyle w:val="NormalWeb"/>
        <w:spacing w:before="0" w:beforeAutospacing="0" w:after="158" w:afterAutospacing="0" w:line="480" w:lineRule="auto"/>
        <w:ind w:firstLine="720"/>
        <w:rPr>
          <w:color w:val="000000"/>
        </w:rPr>
      </w:pPr>
      <w:r w:rsidRPr="00CE24DE">
        <w:rPr>
          <w:color w:val="000000"/>
        </w:rPr>
        <w:t xml:space="preserve">All the work to advance adaptive governance in the Fraser River Estuary will not only require financial support, but it will also require staff support. Many interview participants highlighted how many coastal resource management consultation processes are underway province-wide, the number of local initiatives, and, as a result, how limited their capacity is. Like FREMP, which had a cadre of staff, any movement towards fostering increased adaptive governance would need to be supported through dedicated staff capacity. Across the body of literature available to understand what contributes to adaptive governance outcomes, a lack of capacity is identified as a </w:t>
      </w:r>
      <w:r w:rsidRPr="00CE24DE">
        <w:rPr>
          <w:color w:val="000000"/>
        </w:rPr>
        <w:lastRenderedPageBreak/>
        <w:t>significant indicator of success (Sharma-Wallace et al., 2018). As articulated by Participant D, the critical building blocks towards greater success in active management of the estuary are “money, plan, coordination, communication.” Without the financial and human capital to support good governance from the ground up, the evidence does not point toward success</w:t>
      </w:r>
      <w:r w:rsidR="000D6EBB">
        <w:rPr>
          <w:color w:val="000000"/>
        </w:rPr>
        <w:t xml:space="preserve">. </w:t>
      </w:r>
    </w:p>
    <w:p w14:paraId="30AA28EF" w14:textId="77777777" w:rsidR="00DB5016" w:rsidRPr="00DD7128" w:rsidRDefault="00DB5016" w:rsidP="000C53BC">
      <w:pPr>
        <w:pStyle w:val="Heading3"/>
        <w:spacing w:line="480" w:lineRule="auto"/>
        <w:rPr>
          <w:color w:val="000000"/>
        </w:rPr>
      </w:pPr>
      <w:bookmarkStart w:id="58" w:name="_Toc133020874"/>
      <w:r>
        <w:rPr>
          <w:color w:val="000000"/>
        </w:rPr>
        <w:t>Capacity Development and Social Learning</w:t>
      </w:r>
      <w:bookmarkEnd w:id="58"/>
    </w:p>
    <w:p w14:paraId="4A49D82A" w14:textId="5945BD29" w:rsidR="00865C72" w:rsidRPr="00865C72" w:rsidRDefault="00DB5016" w:rsidP="00865C72">
      <w:pPr>
        <w:pStyle w:val="NormalWeb"/>
        <w:spacing w:after="158" w:line="480" w:lineRule="auto"/>
        <w:ind w:firstLine="432"/>
        <w:rPr>
          <w:color w:val="000000"/>
        </w:rPr>
      </w:pPr>
      <w:proofErr w:type="gramStart"/>
      <w:r>
        <w:rPr>
          <w:color w:val="000000"/>
        </w:rPr>
        <w:t xml:space="preserve">In </w:t>
      </w:r>
      <w:r w:rsidR="00865C72" w:rsidRPr="00865C72">
        <w:rPr>
          <w:color w:val="000000"/>
        </w:rPr>
        <w:t>order to</w:t>
      </w:r>
      <w:proofErr w:type="gramEnd"/>
      <w:r w:rsidR="00865C72" w:rsidRPr="00865C72">
        <w:rPr>
          <w:color w:val="000000"/>
        </w:rPr>
        <w:t xml:space="preserve"> move away from the status quo of governance, innovation will be necessary. To foster innovation, social learning is necessary to expand the capacity of the actors and build the best management protocols. Building capacity across organizations through social learning will be necessary to meet the existing and emerging threats. As reinforced through the interviews, much of the collaboration currently happens on an ad hoc basis. While collaboration through existing entities is vital in building social capital and often lends to social learning as partners share knowledge and mobilize their collective resources towards a shared objective, the ad hoc nature of these opportunities limits which does interact. </w:t>
      </w:r>
    </w:p>
    <w:p w14:paraId="0DF68CEA" w14:textId="77777777" w:rsidR="00865C72" w:rsidRPr="00865C72" w:rsidRDefault="00865C72" w:rsidP="00865C72">
      <w:pPr>
        <w:pStyle w:val="NormalWeb"/>
        <w:spacing w:after="158" w:line="480" w:lineRule="auto"/>
        <w:ind w:firstLine="432"/>
        <w:rPr>
          <w:color w:val="000000"/>
        </w:rPr>
      </w:pPr>
      <w:r w:rsidRPr="00865C72">
        <w:rPr>
          <w:color w:val="000000"/>
        </w:rPr>
        <w:t xml:space="preserve">Through FREMP, partners came together regularly to participate in environmental assessment processes and promote communication between agencies on ongoing projects in the estuary. While different opportunities do arise for actors to come together, a larger one that focuses on social learning is the Adapting for Ecological Resilience (AFER) network, established by the </w:t>
      </w:r>
      <w:proofErr w:type="spellStart"/>
      <w:r w:rsidRPr="00865C72">
        <w:rPr>
          <w:color w:val="000000"/>
        </w:rPr>
        <w:t>Rivershed</w:t>
      </w:r>
      <w:proofErr w:type="spellEnd"/>
      <w:r w:rsidRPr="00865C72">
        <w:rPr>
          <w:color w:val="000000"/>
        </w:rPr>
        <w:t xml:space="preserve"> Society of BC, with its first meetings in 2020 to “share knowledge, discuss best practices, and identify opportunities for collaboration” (AFER, n.d.). This network provides an essential space for practitioners to come together but has only held a few meetings to date. </w:t>
      </w:r>
    </w:p>
    <w:p w14:paraId="1C8BF24A" w14:textId="6B95B4B3" w:rsidR="00DB5016" w:rsidRDefault="00865C72" w:rsidP="00865C72">
      <w:pPr>
        <w:pStyle w:val="NormalWeb"/>
        <w:spacing w:before="0" w:beforeAutospacing="0" w:after="158" w:afterAutospacing="0" w:line="480" w:lineRule="auto"/>
        <w:ind w:firstLine="432"/>
        <w:rPr>
          <w:color w:val="000000"/>
        </w:rPr>
      </w:pPr>
      <w:r w:rsidRPr="00865C72">
        <w:rPr>
          <w:color w:val="000000"/>
        </w:rPr>
        <w:t xml:space="preserve">To conclude this discussion, all the various elements of adaptive governance that could promote the ability of the governance landscape in the Fraser River Estuary to respond to current and emerging threats would benefit from creating a central hub for coordination. While it would have </w:t>
      </w:r>
      <w:r w:rsidRPr="00865C72">
        <w:rPr>
          <w:color w:val="000000"/>
        </w:rPr>
        <w:lastRenderedPageBreak/>
        <w:t>broader participation and be better structured to meet the current context of the estuary today, a newer version of FREMP is vital to the foundation of a governance system that the Fraser River Estuary deserves</w:t>
      </w:r>
      <w:r w:rsidR="00DB5016">
        <w:rPr>
          <w:color w:val="000000"/>
        </w:rPr>
        <w:t xml:space="preserve">. </w:t>
      </w:r>
    </w:p>
    <w:p w14:paraId="01BBDA03" w14:textId="77777777" w:rsidR="0096575A" w:rsidRPr="00DB5016" w:rsidRDefault="0096575A" w:rsidP="000C53BC">
      <w:pPr>
        <w:spacing w:line="480" w:lineRule="auto"/>
        <w:ind w:firstLine="0"/>
        <w:rPr>
          <w:lang w:val="en-CA"/>
        </w:rPr>
      </w:pPr>
    </w:p>
    <w:p w14:paraId="5652CC1B" w14:textId="00A92726" w:rsidR="0013133A" w:rsidRDefault="0013133A" w:rsidP="000C53BC">
      <w:pPr>
        <w:pStyle w:val="Heading1"/>
        <w:numPr>
          <w:ilvl w:val="0"/>
          <w:numId w:val="36"/>
        </w:numPr>
        <w:spacing w:line="480" w:lineRule="auto"/>
      </w:pPr>
      <w:bookmarkStart w:id="59" w:name="_Toc133020875"/>
      <w:r>
        <w:lastRenderedPageBreak/>
        <w:t xml:space="preserve">Chapter </w:t>
      </w:r>
      <w:r w:rsidR="00D442B8">
        <w:t>6</w:t>
      </w:r>
      <w:r>
        <w:br/>
      </w:r>
      <w:r>
        <w:br/>
        <w:t>Conclusion</w:t>
      </w:r>
      <w:bookmarkEnd w:id="59"/>
    </w:p>
    <w:p w14:paraId="416D1C19" w14:textId="5D95E817" w:rsidR="0013133A" w:rsidRDefault="00387EB9" w:rsidP="000C53BC">
      <w:pPr>
        <w:pStyle w:val="Heading2"/>
        <w:spacing w:line="480" w:lineRule="auto"/>
      </w:pPr>
      <w:bookmarkStart w:id="60" w:name="_Toc133020876"/>
      <w:r>
        <w:t>Conclusion</w:t>
      </w:r>
      <w:bookmarkEnd w:id="60"/>
    </w:p>
    <w:p w14:paraId="69FBA517" w14:textId="49D8EA08" w:rsidR="00390733" w:rsidRPr="00390733" w:rsidRDefault="001B1F2A" w:rsidP="00390733">
      <w:pPr>
        <w:spacing w:line="480" w:lineRule="auto"/>
        <w:rPr>
          <w:color w:val="000000"/>
          <w:lang w:eastAsia="en-CA"/>
        </w:rPr>
      </w:pPr>
      <w:r w:rsidRPr="007C03F6">
        <w:rPr>
          <w:color w:val="000000"/>
          <w:lang w:eastAsia="en-CA"/>
        </w:rPr>
        <w:t xml:space="preserve">In </w:t>
      </w:r>
      <w:r w:rsidR="00390733" w:rsidRPr="00390733">
        <w:rPr>
          <w:color w:val="000000"/>
          <w:lang w:eastAsia="en-CA"/>
        </w:rPr>
        <w:t xml:space="preserve">short, this study offers observations on the capacity for adaptive governance in the Fraser River Estuary's governance landscape. With critical consequences for the survival of shorebirds migrating along the Pacific Flyway and the well-being of coastal communities in the Lower Mainland, adaptive governance is vital to fostering resilience for all. Through the series of expert interviews and participatory research conducted through participation at IMPAC5, the status quo narrative that emerged points to the inevitable decline of shorebirds and the increasing vulnerability of coastal communities to climate change and other drivers of change without the potential for adaptive management in the existing governance landscape. While the status quo appears dismal at first glance, there is room for optimism on the horizon. Looking forward five years out, many processes are underway that will potentially influence future governance processes and the structure of the Fraser River Estuary. </w:t>
      </w:r>
    </w:p>
    <w:p w14:paraId="75F94CC7" w14:textId="77777777" w:rsidR="00390733" w:rsidRPr="00390733" w:rsidRDefault="00390733" w:rsidP="00390733">
      <w:pPr>
        <w:spacing w:line="480" w:lineRule="auto"/>
        <w:rPr>
          <w:color w:val="000000"/>
          <w:lang w:eastAsia="en-CA"/>
        </w:rPr>
      </w:pPr>
      <w:r w:rsidRPr="00390733">
        <w:rPr>
          <w:color w:val="000000"/>
          <w:lang w:eastAsia="en-CA"/>
        </w:rPr>
        <w:t xml:space="preserve">Province-wide, an ongoing coastal management consultation process is underway at the time of writing that aims to protect "the ecological, cultural, and economic benefits provided by the coastal marine environment" (MLWRS, 2022). It also seeks public comments at the time of writing following the publication of any intentions paper after Indigenous consultations (MLWRS, 2023). In addition, there is the Watershed Security Strategy and Fund to help promote healthier watersheds across the province (MLWRS, 2023). </w:t>
      </w:r>
    </w:p>
    <w:p w14:paraId="78035DEF" w14:textId="77777777" w:rsidR="00390733" w:rsidRPr="00390733" w:rsidRDefault="00390733" w:rsidP="00390733">
      <w:pPr>
        <w:spacing w:line="480" w:lineRule="auto"/>
        <w:rPr>
          <w:color w:val="000000"/>
          <w:lang w:eastAsia="en-CA"/>
        </w:rPr>
      </w:pPr>
      <w:r w:rsidRPr="00390733">
        <w:rPr>
          <w:color w:val="000000"/>
          <w:lang w:eastAsia="en-CA"/>
        </w:rPr>
        <w:t xml:space="preserve">While they remain in draft versions published in the early 2000s, the five wildlife management areas in the Fraser River Estuary have significant potential for high-impact </w:t>
      </w:r>
      <w:r w:rsidRPr="00390733">
        <w:rPr>
          <w:color w:val="000000"/>
          <w:lang w:eastAsia="en-CA"/>
        </w:rPr>
        <w:lastRenderedPageBreak/>
        <w:t xml:space="preserve">conservation work, as referenced by Participants D and L, who had direct experience working on them. Finalizing these plans and laying out clear objectives and management actions for these wildlife management areas could be vital to improving outcomes for the species that rely on these areas. The lack of provincial leadership on advancing objectives for the wildlife management areas contrasts the public sector's stated dedication to the conservation of the Southern Resident Killer Whale population, as articulated by interview participants from the NGO sector. While various factors differentiate the two contexts, one might begin by observing the contrast in the public's awareness of the issue, demonstrating how fundamental community empowerment is to governance. </w:t>
      </w:r>
    </w:p>
    <w:p w14:paraId="34378C8A" w14:textId="77777777" w:rsidR="00390733" w:rsidRPr="00390733" w:rsidRDefault="00390733" w:rsidP="00390733">
      <w:pPr>
        <w:spacing w:line="480" w:lineRule="auto"/>
        <w:rPr>
          <w:color w:val="000000"/>
          <w:lang w:eastAsia="en-CA"/>
        </w:rPr>
      </w:pPr>
      <w:r w:rsidRPr="00390733">
        <w:rPr>
          <w:color w:val="000000"/>
          <w:lang w:eastAsia="en-CA"/>
        </w:rPr>
        <w:t xml:space="preserve">Though different actors will need to be present at a central hub for coordination, the leadership of the federal and provincial government and Indigenous communities will be essential to prompt other actors to step up. With the financial resources and the moral authority to prompt others to follow in their stead, interview participants pointed to the necessity of their presence in any future adaptive governance arrangements intended to guide the future of the Fraser River Estuary. </w:t>
      </w:r>
    </w:p>
    <w:p w14:paraId="52176791" w14:textId="77777777" w:rsidR="00390733" w:rsidRPr="00390733" w:rsidRDefault="00390733" w:rsidP="00390733">
      <w:pPr>
        <w:spacing w:line="480" w:lineRule="auto"/>
        <w:rPr>
          <w:color w:val="000000"/>
          <w:lang w:eastAsia="en-CA"/>
        </w:rPr>
      </w:pPr>
      <w:r w:rsidRPr="00390733">
        <w:rPr>
          <w:color w:val="000000"/>
          <w:lang w:eastAsia="en-CA"/>
        </w:rPr>
        <w:t xml:space="preserve">In imagining what the governance could look like a decade into the future, it would ideally have a renewed central hub supported by a broad base of public support for conserving the estuary with the necessary human and financial resources to manage it effectively. The Vancouver Fraser Port Authority's current role in coordinating impact assessments when they are also the proponent in the Roberts Bank Terminal expansion case should not be the case. Part of the advantage of FREMP was that it was at least at arm's length distance from any proponent. The current arrangement needs to change to help restore transparency to help facilitate public trust in the process. With the resurgence of the role of local Indigenous communities as stewards, there will likely continue to be a shift towards a model that focuses on co-governance and ensures the full respect of Indigenous rights according to the international standard.  </w:t>
      </w:r>
    </w:p>
    <w:p w14:paraId="17A19C3D" w14:textId="2FFBBB22" w:rsidR="001B1F2A" w:rsidRDefault="00390733" w:rsidP="00390733">
      <w:pPr>
        <w:spacing w:line="480" w:lineRule="auto"/>
        <w:rPr>
          <w:color w:val="000000"/>
          <w:lang w:eastAsia="en-CA"/>
        </w:rPr>
      </w:pPr>
      <w:r w:rsidRPr="00390733">
        <w:rPr>
          <w:color w:val="000000"/>
          <w:lang w:eastAsia="en-CA"/>
        </w:rPr>
        <w:lastRenderedPageBreak/>
        <w:t xml:space="preserve">It will be necessary to critically examine the region's carrying capacity for the good of all and set ecological objectives accordingly on a longer time horizon. With a limited land mass bordered by ocean and mountains and an ecological system that can and will reach a tipping point should the ongoing decline </w:t>
      </w:r>
      <w:proofErr w:type="gramStart"/>
      <w:r w:rsidRPr="00390733">
        <w:rPr>
          <w:color w:val="000000"/>
          <w:lang w:eastAsia="en-CA"/>
        </w:rPr>
        <w:t>continue,</w:t>
      </w:r>
      <w:proofErr w:type="gramEnd"/>
      <w:r w:rsidRPr="00390733">
        <w:rPr>
          <w:color w:val="000000"/>
          <w:lang w:eastAsia="en-CA"/>
        </w:rPr>
        <w:t xml:space="preserve"> it will be essential to consider how to best strategically plan for the region's growth to continue to provide for all</w:t>
      </w:r>
      <w:r w:rsidR="001B1F2A">
        <w:rPr>
          <w:color w:val="000000"/>
          <w:lang w:eastAsia="en-CA"/>
        </w:rPr>
        <w:t xml:space="preserve">. </w:t>
      </w:r>
    </w:p>
    <w:p w14:paraId="7552288C" w14:textId="72EADF35" w:rsidR="00DB4956" w:rsidRPr="00935599" w:rsidRDefault="00DB4956" w:rsidP="000C53BC">
      <w:pPr>
        <w:pStyle w:val="Heading2"/>
        <w:spacing w:line="480" w:lineRule="auto"/>
      </w:pPr>
      <w:bookmarkStart w:id="61" w:name="_Toc133020877"/>
      <w:r>
        <w:t>Study Limitations and Future Research Directions</w:t>
      </w:r>
      <w:bookmarkEnd w:id="61"/>
    </w:p>
    <w:p w14:paraId="23148EA1" w14:textId="0C1D2C29" w:rsidR="00D41E19" w:rsidRPr="00D41E19" w:rsidRDefault="001B1F2A" w:rsidP="00D41E19">
      <w:pPr>
        <w:spacing w:line="480" w:lineRule="auto"/>
        <w:rPr>
          <w:color w:val="000000"/>
          <w:lang w:eastAsia="en-CA"/>
        </w:rPr>
      </w:pPr>
      <w:r w:rsidRPr="001B0EBF">
        <w:rPr>
          <w:color w:val="000000"/>
          <w:lang w:eastAsia="en-CA"/>
        </w:rPr>
        <w:t>Given</w:t>
      </w:r>
      <w:r w:rsidR="00D41E19" w:rsidRPr="00D41E19">
        <w:rPr>
          <w:color w:val="000000"/>
          <w:lang w:eastAsia="en-CA"/>
        </w:rPr>
        <w:t xml:space="preserve"> the limited time for this study, the research had significant limitations. Given the complexity of the region's governance, this topic could be the subject of a career in academia. The principal limitation was the lack of Indigenous interview participants by design. This choice was made deliberately because of the minimal time and the lack of established relationships with First Nation communities in the study area. To proceed in a good way, it is essential to take time to establish good relationships with the local communities, and the timeline of an undergraduate thesis project makes it challenging to do so. </w:t>
      </w:r>
    </w:p>
    <w:p w14:paraId="66B07A72" w14:textId="77777777" w:rsidR="00D41E19" w:rsidRPr="00D41E19" w:rsidRDefault="00D41E19" w:rsidP="00D41E19">
      <w:pPr>
        <w:spacing w:line="480" w:lineRule="auto"/>
        <w:rPr>
          <w:color w:val="000000"/>
          <w:lang w:eastAsia="en-CA"/>
        </w:rPr>
      </w:pPr>
      <w:r w:rsidRPr="00D41E19">
        <w:rPr>
          <w:color w:val="000000"/>
          <w:lang w:eastAsia="en-CA"/>
        </w:rPr>
        <w:t xml:space="preserve">In addition, despite significant efforts to interview a representative from the Vancouver Fraser Port Authority, all interview requests were either redirected or ghosted. As the Port Authority is an essential actor in the management of the estuary, their perspective would have been valuable to include in this study, in addition to industry perspectives. </w:t>
      </w:r>
    </w:p>
    <w:p w14:paraId="1652A5A9" w14:textId="5B5F1AC1" w:rsidR="0013133A" w:rsidRPr="00EF209C" w:rsidRDefault="00D41E19" w:rsidP="00D41E19">
      <w:pPr>
        <w:spacing w:line="480" w:lineRule="auto"/>
        <w:rPr>
          <w:color w:val="000000"/>
          <w:lang w:eastAsia="en-CA"/>
        </w:rPr>
      </w:pPr>
      <w:r w:rsidRPr="00D41E19">
        <w:rPr>
          <w:color w:val="000000"/>
          <w:lang w:eastAsia="en-CA"/>
        </w:rPr>
        <w:t xml:space="preserve">As the dynamic governance landscape of the Fraser River Estuary continues to evolve amidst current and emerging pressures, it provides ample opportunity to adapt governance arrangements to the challenge they face with clear evidence pointing to the </w:t>
      </w:r>
      <w:proofErr w:type="gramStart"/>
      <w:r w:rsidRPr="00D41E19">
        <w:rPr>
          <w:color w:val="000000"/>
          <w:lang w:eastAsia="en-CA"/>
        </w:rPr>
        <w:t>avenues</w:t>
      </w:r>
      <w:proofErr w:type="gramEnd"/>
      <w:r w:rsidRPr="00D41E19">
        <w:rPr>
          <w:color w:val="000000"/>
          <w:lang w:eastAsia="en-CA"/>
        </w:rPr>
        <w:t xml:space="preserve"> forwards. Despite such challenges, fundamentally, the estuary continues to play host to millions as a site of international importance and offers optimism for a better future</w:t>
      </w:r>
      <w:r w:rsidR="00EF209C">
        <w:rPr>
          <w:color w:val="000000"/>
          <w:lang w:eastAsia="en-CA"/>
        </w:rPr>
        <w:t>.</w:t>
      </w:r>
    </w:p>
    <w:p w14:paraId="51CBBC88" w14:textId="607ED729" w:rsidR="0013133A" w:rsidRDefault="0013133A" w:rsidP="000C53BC">
      <w:pPr>
        <w:pStyle w:val="Heading1"/>
        <w:numPr>
          <w:ilvl w:val="0"/>
          <w:numId w:val="36"/>
        </w:numPr>
        <w:spacing w:line="480" w:lineRule="auto"/>
      </w:pPr>
      <w:bookmarkStart w:id="62" w:name="_Toc133020878"/>
      <w:r>
        <w:lastRenderedPageBreak/>
        <w:t>Appendix</w:t>
      </w:r>
      <w:r w:rsidR="00386717">
        <w:t xml:space="preserve"> 1</w:t>
      </w:r>
      <w:r w:rsidR="000060A1">
        <w:t>: Interview Questions</w:t>
      </w:r>
      <w:bookmarkEnd w:id="62"/>
    </w:p>
    <w:p w14:paraId="2E8B33CF" w14:textId="77777777" w:rsidR="00386717" w:rsidRPr="00D64F43" w:rsidRDefault="00386717" w:rsidP="000C53BC">
      <w:pPr>
        <w:spacing w:line="480" w:lineRule="auto"/>
        <w:ind w:firstLine="0"/>
        <w:rPr>
          <w:rFonts w:ascii="Times" w:hAnsi="Times"/>
        </w:rPr>
      </w:pPr>
      <w:r>
        <w:rPr>
          <w:rFonts w:ascii="Times" w:hAnsi="Times"/>
        </w:rPr>
        <w:t>(</w:t>
      </w:r>
      <w:r w:rsidRPr="00D64F43">
        <w:rPr>
          <w:rFonts w:ascii="Times" w:hAnsi="Times"/>
        </w:rPr>
        <w:t>Given that the interviews will take a semi-structured form, here is a list of questions that will be used and/or be used as a basis.</w:t>
      </w:r>
      <w:r>
        <w:rPr>
          <w:rFonts w:ascii="Times" w:hAnsi="Times"/>
        </w:rPr>
        <w:t>)</w:t>
      </w:r>
    </w:p>
    <w:p w14:paraId="55AF117B" w14:textId="032C821E"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 xml:space="preserve">To set the context for this interview could you begin by telling me a bit about how have you been involved in the coastal governance of the Fraser River Estuary? </w:t>
      </w:r>
    </w:p>
    <w:p w14:paraId="53067B1F" w14:textId="6DB18141"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Compared to other regions you may be aware of, from your perspective, what makes the needs of the coastal governance system in the Fraser River Estuary unique?</w:t>
      </w:r>
    </w:p>
    <w:p w14:paraId="489B5C90" w14:textId="5B1ADD89"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 xml:space="preserve">Coming from an outsider perspective, I am very curious about the objectives of the management of the Fraser River Estuary. From your perspective, what are key objectives you would like to see reflected in the governance of the Fraser River Estuary? </w:t>
      </w:r>
    </w:p>
    <w:p w14:paraId="6D2E8C0F" w14:textId="0F6DC26A"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How does collaboration work in this area, positive and negative, effective, or not. Could you tell me about your experiences? What experiences of collaboration have you had with other actors involved in the governance of the Fraser River Estuary?</w:t>
      </w:r>
    </w:p>
    <w:p w14:paraId="3D452F2D" w14:textId="42C27246"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Following areas of collaboration, I am also curious about whether there are opportunities for actors to learn from each other, in both structured and unstructured settings. From your perspective, does the current system supports for learning and reflection by partners and between different levels of actors?</w:t>
      </w:r>
    </w:p>
    <w:p w14:paraId="222F9C6E" w14:textId="77777777" w:rsidR="00386717" w:rsidRPr="00B01C55"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 xml:space="preserve">What opportunities do you see in the integration of migratory shorebird conservation and coastal resilience planning? </w:t>
      </w:r>
    </w:p>
    <w:p w14:paraId="1790DB97" w14:textId="77777777" w:rsidR="00386717" w:rsidRPr="00B01C55" w:rsidRDefault="00386717" w:rsidP="000C53BC">
      <w:pPr>
        <w:spacing w:line="480" w:lineRule="auto"/>
        <w:ind w:firstLine="0"/>
        <w:rPr>
          <w:rFonts w:ascii="Times" w:hAnsi="Times"/>
        </w:rPr>
      </w:pPr>
    </w:p>
    <w:p w14:paraId="2B44E91A" w14:textId="77777777" w:rsidR="00386717" w:rsidRPr="00B01C55"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 xml:space="preserve">In the academic area we talk about resilience in the climate change and ecosystem science, and it carries a lot of weight. What does it mean to you and what temporal and spatial scales do you consider? </w:t>
      </w:r>
    </w:p>
    <w:p w14:paraId="1B59A532" w14:textId="38A6CE4F" w:rsidR="00386717" w:rsidRPr="000C53BC" w:rsidRDefault="00386717" w:rsidP="000C53BC">
      <w:pPr>
        <w:pStyle w:val="ListParagraph"/>
        <w:spacing w:line="480" w:lineRule="auto"/>
        <w:rPr>
          <w:rFonts w:ascii="Times" w:hAnsi="Times"/>
          <w:sz w:val="22"/>
          <w:szCs w:val="22"/>
        </w:rPr>
      </w:pPr>
      <w:r w:rsidRPr="00B01C55">
        <w:rPr>
          <w:rFonts w:ascii="Times" w:hAnsi="Times"/>
          <w:sz w:val="22"/>
          <w:szCs w:val="22"/>
        </w:rPr>
        <w:t xml:space="preserve">7a. Follow-up question: How do the needs and interests of shorebirds fit into that? </w:t>
      </w:r>
    </w:p>
    <w:p w14:paraId="3689E182" w14:textId="2FAD2CD3" w:rsidR="00386717" w:rsidRPr="000C53BC"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lastRenderedPageBreak/>
        <w:t>Recognizing that the governance system of the Fraser River Estuary has a varied history, what would you like to see in the Fraser River Estuary coastal governance system on moving forward?</w:t>
      </w:r>
    </w:p>
    <w:p w14:paraId="629CF67D" w14:textId="77777777" w:rsidR="00386717" w:rsidRPr="00B01C55" w:rsidRDefault="00386717" w:rsidP="000C53BC">
      <w:pPr>
        <w:pStyle w:val="ListParagraph"/>
        <w:numPr>
          <w:ilvl w:val="0"/>
          <w:numId w:val="62"/>
        </w:numPr>
        <w:spacing w:line="480" w:lineRule="auto"/>
        <w:rPr>
          <w:rFonts w:ascii="Times" w:hAnsi="Times"/>
          <w:sz w:val="22"/>
          <w:szCs w:val="22"/>
        </w:rPr>
      </w:pPr>
      <w:r w:rsidRPr="00B01C55">
        <w:rPr>
          <w:rFonts w:ascii="Times" w:hAnsi="Times"/>
          <w:sz w:val="22"/>
          <w:szCs w:val="22"/>
        </w:rPr>
        <w:t xml:space="preserve">To conclude the interview, if you were queen or king for a day what would you do in the Fraser River Estuary? </w:t>
      </w:r>
    </w:p>
    <w:p w14:paraId="5AE37A59" w14:textId="77777777" w:rsidR="00386717" w:rsidRPr="00386717" w:rsidRDefault="00386717" w:rsidP="000C53BC">
      <w:pPr>
        <w:spacing w:line="480" w:lineRule="auto"/>
      </w:pPr>
    </w:p>
    <w:p w14:paraId="29F739A2" w14:textId="77A4D931" w:rsidR="006616B8" w:rsidRDefault="006616B8" w:rsidP="000C53BC">
      <w:pPr>
        <w:pStyle w:val="Heading1"/>
        <w:numPr>
          <w:ilvl w:val="0"/>
          <w:numId w:val="36"/>
        </w:numPr>
        <w:spacing w:line="480" w:lineRule="auto"/>
      </w:pPr>
      <w:bookmarkStart w:id="63" w:name="_Toc133020879"/>
      <w:r>
        <w:lastRenderedPageBreak/>
        <w:t>References Cited</w:t>
      </w:r>
      <w:bookmarkEnd w:id="63"/>
    </w:p>
    <w:p w14:paraId="11C65DB4" w14:textId="77777777" w:rsidR="00CA4CC2" w:rsidRPr="00A55275" w:rsidRDefault="00CA4CC2" w:rsidP="000C53BC">
      <w:pPr>
        <w:spacing w:line="480" w:lineRule="auto"/>
        <w:ind w:firstLine="0"/>
        <w:rPr>
          <w:lang w:val="fr-CA"/>
        </w:rPr>
      </w:pPr>
    </w:p>
    <w:p w14:paraId="29957425" w14:textId="60FF7B2B" w:rsidR="00CA4CC2" w:rsidRPr="00A55275" w:rsidRDefault="00CA4CC2" w:rsidP="000C53BC">
      <w:pPr>
        <w:spacing w:line="480" w:lineRule="auto"/>
        <w:ind w:firstLine="0"/>
        <w:rPr>
          <w:color w:val="000000" w:themeColor="text1"/>
        </w:rPr>
      </w:pPr>
      <w:proofErr w:type="spellStart"/>
      <w:r w:rsidRPr="00A55275">
        <w:rPr>
          <w:color w:val="000000" w:themeColor="text1"/>
          <w:lang w:val="da-DK"/>
        </w:rPr>
        <w:t>Amano</w:t>
      </w:r>
      <w:proofErr w:type="spellEnd"/>
      <w:r w:rsidRPr="00A55275">
        <w:rPr>
          <w:color w:val="000000" w:themeColor="text1"/>
          <w:lang w:val="da-DK"/>
        </w:rPr>
        <w:t xml:space="preserve">, T., </w:t>
      </w:r>
      <w:proofErr w:type="spellStart"/>
      <w:r w:rsidRPr="00A55275">
        <w:rPr>
          <w:color w:val="000000" w:themeColor="text1"/>
          <w:lang w:val="da-DK"/>
        </w:rPr>
        <w:t>Székely</w:t>
      </w:r>
      <w:proofErr w:type="spellEnd"/>
      <w:r w:rsidRPr="00A55275">
        <w:rPr>
          <w:color w:val="000000" w:themeColor="text1"/>
          <w:lang w:val="da-DK"/>
        </w:rPr>
        <w:t xml:space="preserve">, T., Sandel, B., Nagy, S., </w:t>
      </w:r>
      <w:proofErr w:type="spellStart"/>
      <w:r w:rsidRPr="00A55275">
        <w:rPr>
          <w:color w:val="000000" w:themeColor="text1"/>
          <w:lang w:val="da-DK"/>
        </w:rPr>
        <w:t>Mundkur</w:t>
      </w:r>
      <w:proofErr w:type="spellEnd"/>
      <w:r w:rsidRPr="00A55275">
        <w:rPr>
          <w:color w:val="000000" w:themeColor="text1"/>
          <w:lang w:val="da-DK"/>
        </w:rPr>
        <w:t xml:space="preserve">, T., </w:t>
      </w:r>
      <w:proofErr w:type="spellStart"/>
      <w:r w:rsidRPr="00A55275">
        <w:rPr>
          <w:color w:val="000000" w:themeColor="text1"/>
          <w:lang w:val="da-DK"/>
        </w:rPr>
        <w:t>Langendoen</w:t>
      </w:r>
      <w:proofErr w:type="spellEnd"/>
      <w:r w:rsidRPr="00A55275">
        <w:rPr>
          <w:color w:val="000000" w:themeColor="text1"/>
          <w:lang w:val="da-DK"/>
        </w:rPr>
        <w:t xml:space="preserve">, T., Blanco, D., </w:t>
      </w:r>
      <w:proofErr w:type="spellStart"/>
      <w:r w:rsidRPr="00A55275">
        <w:rPr>
          <w:color w:val="000000" w:themeColor="text1"/>
          <w:lang w:val="da-DK"/>
        </w:rPr>
        <w:t>Soykan</w:t>
      </w:r>
      <w:proofErr w:type="spellEnd"/>
      <w:r w:rsidRPr="00A55275">
        <w:rPr>
          <w:color w:val="000000" w:themeColor="text1"/>
          <w:lang w:val="da-DK"/>
        </w:rPr>
        <w:t xml:space="preserve">, </w:t>
      </w:r>
      <w:r>
        <w:rPr>
          <w:color w:val="000000" w:themeColor="text1"/>
          <w:lang w:val="da-DK"/>
        </w:rPr>
        <w:tab/>
      </w:r>
      <w:r w:rsidRPr="00A55275">
        <w:rPr>
          <w:color w:val="000000" w:themeColor="text1"/>
          <w:lang w:val="da-DK"/>
        </w:rPr>
        <w:t xml:space="preserve">C. U., &amp; Sutherland, W. J. (2018). </w:t>
      </w:r>
      <w:r w:rsidRPr="00A55275">
        <w:rPr>
          <w:color w:val="000000" w:themeColor="text1"/>
        </w:rPr>
        <w:t xml:space="preserve">Successful conservation of global waterbird </w:t>
      </w:r>
      <w:r>
        <w:rPr>
          <w:color w:val="000000" w:themeColor="text1"/>
        </w:rPr>
        <w:tab/>
      </w:r>
      <w:r w:rsidRPr="00A55275">
        <w:rPr>
          <w:color w:val="000000" w:themeColor="text1"/>
        </w:rPr>
        <w:t xml:space="preserve">populations depends on </w:t>
      </w:r>
      <w:r>
        <w:rPr>
          <w:color w:val="000000" w:themeColor="text1"/>
        </w:rPr>
        <w:tab/>
      </w:r>
      <w:r w:rsidRPr="00A55275">
        <w:rPr>
          <w:color w:val="000000" w:themeColor="text1"/>
        </w:rPr>
        <w:t xml:space="preserve">effective governance. </w:t>
      </w:r>
      <w:r w:rsidRPr="00A55275">
        <w:rPr>
          <w:rFonts w:ascii="Calibri" w:hAnsi="Calibri" w:cs="Calibri"/>
          <w:color w:val="000000" w:themeColor="text1"/>
        </w:rPr>
        <w:t>﻿</w:t>
      </w:r>
      <w:r w:rsidRPr="00A55275">
        <w:rPr>
          <w:color w:val="000000" w:themeColor="text1"/>
        </w:rPr>
        <w:t>Nature, 553(7687), 199–202</w:t>
      </w:r>
    </w:p>
    <w:p w14:paraId="336D4718" w14:textId="442505D9" w:rsidR="00CA4CC2" w:rsidRPr="00F8470F" w:rsidRDefault="00CA4CC2" w:rsidP="000C53BC">
      <w:pPr>
        <w:autoSpaceDE w:val="0"/>
        <w:autoSpaceDN w:val="0"/>
        <w:adjustRightInd w:val="0"/>
        <w:spacing w:line="480" w:lineRule="auto"/>
        <w:ind w:firstLine="0"/>
        <w:rPr>
          <w:rFonts w:ascii="Times" w:hAnsi="Times"/>
          <w:color w:val="000000" w:themeColor="text1"/>
          <w:sz w:val="32"/>
          <w:szCs w:val="32"/>
        </w:rPr>
      </w:pPr>
      <w:r w:rsidRPr="009A666F">
        <w:rPr>
          <w:rFonts w:ascii="Times" w:hAnsi="Times"/>
          <w:color w:val="000000" w:themeColor="text1"/>
        </w:rPr>
        <w:t>Agyekum, K., </w:t>
      </w:r>
      <w:proofErr w:type="spellStart"/>
      <w:r w:rsidRPr="009A666F">
        <w:rPr>
          <w:rFonts w:ascii="Times" w:hAnsi="Times"/>
          <w:color w:val="000000" w:themeColor="text1"/>
        </w:rPr>
        <w:t>Adinyira</w:t>
      </w:r>
      <w:proofErr w:type="spellEnd"/>
      <w:r w:rsidRPr="009A666F">
        <w:rPr>
          <w:rFonts w:ascii="Times" w:hAnsi="Times"/>
          <w:color w:val="000000" w:themeColor="text1"/>
        </w:rPr>
        <w:t>, E., </w:t>
      </w:r>
      <w:proofErr w:type="spellStart"/>
      <w:r w:rsidRPr="009A666F">
        <w:rPr>
          <w:rFonts w:ascii="Times" w:hAnsi="Times"/>
          <w:color w:val="000000" w:themeColor="text1"/>
        </w:rPr>
        <w:t>Baiden</w:t>
      </w:r>
      <w:proofErr w:type="spellEnd"/>
      <w:r w:rsidRPr="009A666F">
        <w:rPr>
          <w:rFonts w:ascii="Times" w:hAnsi="Times"/>
          <w:color w:val="000000" w:themeColor="text1"/>
        </w:rPr>
        <w:t>, B., </w:t>
      </w:r>
      <w:proofErr w:type="spellStart"/>
      <w:r w:rsidRPr="009A666F">
        <w:rPr>
          <w:rFonts w:ascii="Times" w:hAnsi="Times"/>
          <w:color w:val="000000" w:themeColor="text1"/>
        </w:rPr>
        <w:t>Ampratwum</w:t>
      </w:r>
      <w:proofErr w:type="spellEnd"/>
      <w:r w:rsidRPr="009A666F">
        <w:rPr>
          <w:rFonts w:ascii="Times" w:hAnsi="Times"/>
          <w:color w:val="000000" w:themeColor="text1"/>
        </w:rPr>
        <w:t>, G. and </w:t>
      </w:r>
      <w:proofErr w:type="spellStart"/>
      <w:r w:rsidRPr="009A666F">
        <w:rPr>
          <w:rFonts w:ascii="Times" w:hAnsi="Times"/>
          <w:color w:val="000000" w:themeColor="text1"/>
        </w:rPr>
        <w:t>Duah</w:t>
      </w:r>
      <w:proofErr w:type="spellEnd"/>
      <w:r w:rsidRPr="009A666F">
        <w:rPr>
          <w:rFonts w:ascii="Times" w:hAnsi="Times"/>
          <w:color w:val="000000" w:themeColor="text1"/>
        </w:rPr>
        <w:t xml:space="preserve">, D. (2019). "Barriers to the </w:t>
      </w:r>
      <w:r w:rsidR="00C76794">
        <w:rPr>
          <w:rFonts w:ascii="Times" w:hAnsi="Times"/>
          <w:color w:val="000000" w:themeColor="text1"/>
        </w:rPr>
        <w:tab/>
      </w:r>
      <w:r w:rsidRPr="009A666F">
        <w:rPr>
          <w:rFonts w:ascii="Times" w:hAnsi="Times"/>
          <w:color w:val="000000" w:themeColor="text1"/>
        </w:rPr>
        <w:t xml:space="preserve">adoption of green certification of buildings: A thematic analysis of verbatim comments </w:t>
      </w:r>
      <w:r w:rsidRPr="009A666F">
        <w:rPr>
          <w:rFonts w:ascii="Times" w:hAnsi="Times"/>
          <w:color w:val="000000" w:themeColor="text1"/>
        </w:rPr>
        <w:tab/>
        <w:t>from built environment professionals", </w:t>
      </w:r>
      <w:r w:rsidRPr="009A666F">
        <w:rPr>
          <w:rFonts w:ascii="Times" w:hAnsi="Times"/>
          <w:i/>
          <w:iCs/>
          <w:color w:val="000000" w:themeColor="text1"/>
        </w:rPr>
        <w:t>Journal of Engineering, Design and Technology</w:t>
      </w:r>
      <w:r w:rsidRPr="009A666F">
        <w:rPr>
          <w:rFonts w:ascii="Times" w:hAnsi="Times"/>
          <w:color w:val="000000" w:themeColor="text1"/>
        </w:rPr>
        <w:t xml:space="preserve">, </w:t>
      </w:r>
      <w:r w:rsidRPr="009A666F">
        <w:rPr>
          <w:rFonts w:ascii="Times" w:hAnsi="Times"/>
          <w:color w:val="000000" w:themeColor="text1"/>
        </w:rPr>
        <w:tab/>
        <w:t>17(5), pp. 1035-1055. https://doi.org/10.1108/JEDT-01-2019-0028</w:t>
      </w:r>
    </w:p>
    <w:p w14:paraId="64F52E83" w14:textId="2BFC4997" w:rsidR="00CA4CC2" w:rsidRPr="00A55275" w:rsidRDefault="00CA4CC2" w:rsidP="000C53BC">
      <w:pPr>
        <w:spacing w:line="480" w:lineRule="auto"/>
        <w:ind w:firstLine="0"/>
        <w:rPr>
          <w:color w:val="000000" w:themeColor="text1"/>
        </w:rPr>
      </w:pPr>
      <w:r w:rsidRPr="00A55275">
        <w:rPr>
          <w:color w:val="000000" w:themeColor="text1"/>
        </w:rPr>
        <w:t xml:space="preserve">Armitage, D., and R. Plummer, editors. </w:t>
      </w:r>
      <w:r w:rsidR="00C76794">
        <w:rPr>
          <w:color w:val="000000" w:themeColor="text1"/>
        </w:rPr>
        <w:t>(</w:t>
      </w:r>
      <w:r w:rsidRPr="00A55275">
        <w:rPr>
          <w:color w:val="000000" w:themeColor="text1"/>
        </w:rPr>
        <w:t>2010</w:t>
      </w:r>
      <w:r w:rsidR="00C76794">
        <w:rPr>
          <w:color w:val="000000" w:themeColor="text1"/>
        </w:rPr>
        <w:t>)</w:t>
      </w:r>
      <w:r w:rsidRPr="00A55275">
        <w:rPr>
          <w:color w:val="000000" w:themeColor="text1"/>
        </w:rPr>
        <w:t xml:space="preserve">. Adaptive capacity and environmental governance. </w:t>
      </w:r>
      <w:r w:rsidR="00C76794">
        <w:rPr>
          <w:color w:val="000000" w:themeColor="text1"/>
        </w:rPr>
        <w:tab/>
      </w:r>
      <w:r w:rsidRPr="00A55275">
        <w:rPr>
          <w:color w:val="000000" w:themeColor="text1"/>
        </w:rPr>
        <w:t xml:space="preserve">Springer-Verlag, Berlin, Germany. </w:t>
      </w:r>
      <w:r w:rsidRPr="00C76794">
        <w:t>https://doi.org/10.1007/978-3-642-12194-4</w:t>
      </w:r>
    </w:p>
    <w:p w14:paraId="2D064331" w14:textId="77777777" w:rsidR="00CA4CC2" w:rsidRDefault="00CA4CC2" w:rsidP="000C53BC">
      <w:pPr>
        <w:pStyle w:val="NormalWeb"/>
        <w:spacing w:line="480" w:lineRule="auto"/>
        <w:ind w:left="480" w:hanging="480"/>
        <w:rPr>
          <w:color w:val="000000" w:themeColor="text1"/>
          <w:szCs w:val="22"/>
        </w:rPr>
      </w:pPr>
      <w:r w:rsidRPr="00A55275">
        <w:rPr>
          <w:rFonts w:ascii="Calibri" w:hAnsi="Calibri" w:cs="Calibri"/>
          <w:color w:val="000000" w:themeColor="text1"/>
          <w:szCs w:val="22"/>
        </w:rPr>
        <w:t>﻿</w:t>
      </w:r>
      <w:r w:rsidRPr="00864AB0">
        <w:t xml:space="preserve"> </w:t>
      </w:r>
      <w:proofErr w:type="spellStart"/>
      <w:r>
        <w:t>Balke</w:t>
      </w:r>
      <w:proofErr w:type="spellEnd"/>
      <w:r>
        <w:t>, E. (2017). Investigating the Role of Elevated Salinity in the Recession of a Large Brackish Marsh in the Fraser River Estuary (thesis). Simon Fraser University. https://summit.sfu.ca/ item/17816</w:t>
      </w:r>
      <w:r w:rsidRPr="00A55275">
        <w:rPr>
          <w:color w:val="000000" w:themeColor="text1"/>
          <w:szCs w:val="22"/>
        </w:rPr>
        <w:t xml:space="preserve"> </w:t>
      </w:r>
    </w:p>
    <w:p w14:paraId="63E412A0" w14:textId="4BDAFC6F"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Barron, S., Flanders, D., Pond, E., </w:t>
      </w:r>
      <w:proofErr w:type="spellStart"/>
      <w:r w:rsidRPr="00A55275">
        <w:rPr>
          <w:color w:val="000000" w:themeColor="text1"/>
          <w:szCs w:val="22"/>
        </w:rPr>
        <w:t>Tatebe</w:t>
      </w:r>
      <w:proofErr w:type="spellEnd"/>
      <w:r w:rsidRPr="00A55275">
        <w:rPr>
          <w:color w:val="000000" w:themeColor="text1"/>
          <w:szCs w:val="22"/>
        </w:rPr>
        <w:t xml:space="preserve">, K., </w:t>
      </w:r>
      <w:proofErr w:type="spellStart"/>
      <w:r w:rsidRPr="00A55275">
        <w:rPr>
          <w:color w:val="000000" w:themeColor="text1"/>
          <w:szCs w:val="22"/>
        </w:rPr>
        <w:t>Canete</w:t>
      </w:r>
      <w:proofErr w:type="spellEnd"/>
      <w:r w:rsidRPr="00A55275">
        <w:rPr>
          <w:color w:val="000000" w:themeColor="text1"/>
          <w:szCs w:val="22"/>
        </w:rPr>
        <w:t xml:space="preserve">, G., Sheppard, S., Carmichael, J., &amp; Muir Owen, S. (2012). </w:t>
      </w:r>
      <w:r w:rsidRPr="00A55275">
        <w:rPr>
          <w:i/>
          <w:iCs/>
          <w:color w:val="000000" w:themeColor="text1"/>
          <w:szCs w:val="22"/>
        </w:rPr>
        <w:t>Delta-RAC Sea Level Rise Adaptation Visioning Study</w:t>
      </w:r>
      <w:r w:rsidRPr="00A55275">
        <w:rPr>
          <w:color w:val="000000" w:themeColor="text1"/>
          <w:szCs w:val="22"/>
        </w:rPr>
        <w:t>. https://www.fraserbasin.bc.ca/_Library/CCAQ_BCRAC/bcrac_delta_visioning-policy_4d.pdf</w:t>
      </w:r>
    </w:p>
    <w:p w14:paraId="2C717C35" w14:textId="436B02F6" w:rsidR="00CA4CC2" w:rsidRPr="00A55275" w:rsidRDefault="00CA4CC2" w:rsidP="000C53BC">
      <w:pPr>
        <w:spacing w:line="480" w:lineRule="auto"/>
        <w:ind w:firstLine="0"/>
        <w:rPr>
          <w:color w:val="000000" w:themeColor="text1"/>
        </w:rPr>
      </w:pPr>
      <w:r w:rsidRPr="00A55275">
        <w:rPr>
          <w:color w:val="000000" w:themeColor="text1"/>
          <w:lang w:val="da-DK"/>
        </w:rPr>
        <w:t>Bennett, N.J., Kaplan-</w:t>
      </w:r>
      <w:proofErr w:type="spellStart"/>
      <w:r w:rsidRPr="00A55275">
        <w:rPr>
          <w:color w:val="000000" w:themeColor="text1"/>
          <w:lang w:val="da-DK"/>
        </w:rPr>
        <w:t>Hallam</w:t>
      </w:r>
      <w:proofErr w:type="spellEnd"/>
      <w:r w:rsidRPr="00A55275">
        <w:rPr>
          <w:color w:val="000000" w:themeColor="text1"/>
          <w:lang w:val="da-DK"/>
        </w:rPr>
        <w:t xml:space="preserve">, M., Augustine, G., Ban, N., </w:t>
      </w:r>
      <w:proofErr w:type="spellStart"/>
      <w:r w:rsidRPr="00A55275">
        <w:rPr>
          <w:color w:val="000000" w:themeColor="text1"/>
          <w:lang w:val="da-DK"/>
        </w:rPr>
        <w:t>Belhabib</w:t>
      </w:r>
      <w:proofErr w:type="spellEnd"/>
      <w:r w:rsidRPr="00A55275">
        <w:rPr>
          <w:color w:val="000000" w:themeColor="text1"/>
          <w:lang w:val="da-DK"/>
        </w:rPr>
        <w:t xml:space="preserve">, D., </w:t>
      </w:r>
      <w:proofErr w:type="spellStart"/>
      <w:r w:rsidRPr="00A55275">
        <w:rPr>
          <w:color w:val="000000" w:themeColor="text1"/>
          <w:lang w:val="da-DK"/>
        </w:rPr>
        <w:t>Brueckner</w:t>
      </w:r>
      <w:proofErr w:type="spellEnd"/>
      <w:r w:rsidRPr="00A55275">
        <w:rPr>
          <w:color w:val="000000" w:themeColor="text1"/>
          <w:lang w:val="da-DK"/>
        </w:rPr>
        <w:t xml:space="preserve">-Irwin, I., </w:t>
      </w:r>
      <w:r w:rsidRPr="00A55275">
        <w:rPr>
          <w:color w:val="000000" w:themeColor="text1"/>
          <w:lang w:val="da-DK"/>
        </w:rPr>
        <w:tab/>
        <w:t xml:space="preserve">Charles, A., Couture, J., Eger, S., </w:t>
      </w:r>
      <w:proofErr w:type="spellStart"/>
      <w:r w:rsidRPr="00A55275">
        <w:rPr>
          <w:color w:val="000000" w:themeColor="text1"/>
          <w:lang w:val="da-DK"/>
        </w:rPr>
        <w:t>Fanning</w:t>
      </w:r>
      <w:proofErr w:type="spellEnd"/>
      <w:r w:rsidRPr="00A55275">
        <w:rPr>
          <w:color w:val="000000" w:themeColor="text1"/>
          <w:lang w:val="da-DK"/>
        </w:rPr>
        <w:t xml:space="preserve">, L., et al. </w:t>
      </w:r>
      <w:r w:rsidRPr="00A55275">
        <w:rPr>
          <w:color w:val="000000" w:themeColor="text1"/>
        </w:rPr>
        <w:t xml:space="preserve">Coastal and Indigenous Community </w:t>
      </w:r>
      <w:r w:rsidRPr="00A55275">
        <w:rPr>
          <w:color w:val="000000" w:themeColor="text1"/>
        </w:rPr>
        <w:tab/>
        <w:t>Access to Marine Resources and the Ocean: A Policy Imperative for Canada. Mar. Policy</w:t>
      </w:r>
      <w:r w:rsidRPr="00A55275">
        <w:rPr>
          <w:color w:val="000000" w:themeColor="text1"/>
        </w:rPr>
        <w:tab/>
        <w:t>2018, 87, 186–193.</w:t>
      </w:r>
    </w:p>
    <w:p w14:paraId="34955CDF" w14:textId="7B5D68BC" w:rsidR="00CA4CC2" w:rsidRPr="00A55275" w:rsidRDefault="00CA4CC2" w:rsidP="000C53BC">
      <w:pPr>
        <w:spacing w:line="480" w:lineRule="auto"/>
        <w:ind w:firstLine="0"/>
        <w:rPr>
          <w:color w:val="000000" w:themeColor="text1"/>
        </w:rPr>
      </w:pPr>
      <w:r w:rsidRPr="00A55275">
        <w:rPr>
          <w:rStyle w:val="groupname"/>
          <w:color w:val="000000" w:themeColor="text1"/>
          <w:shd w:val="clear" w:color="auto" w:fill="FFFFFF"/>
        </w:rPr>
        <w:lastRenderedPageBreak/>
        <w:t>Boundary Bay Conservation Committee</w:t>
      </w:r>
      <w:r w:rsidRPr="00A55275">
        <w:rPr>
          <w:color w:val="000000" w:themeColor="text1"/>
          <w:shd w:val="clear" w:color="auto" w:fill="FFFFFF"/>
        </w:rPr>
        <w:t>. </w:t>
      </w:r>
      <w:r w:rsidRPr="00A55275">
        <w:rPr>
          <w:rStyle w:val="pubyear"/>
          <w:color w:val="000000" w:themeColor="text1"/>
          <w:shd w:val="clear" w:color="auto" w:fill="FFFFFF"/>
        </w:rPr>
        <w:t>2016</w:t>
      </w:r>
      <w:r w:rsidRPr="00A55275">
        <w:rPr>
          <w:color w:val="000000" w:themeColor="text1"/>
          <w:shd w:val="clear" w:color="auto" w:fill="FFFFFF"/>
        </w:rPr>
        <w:t>. </w:t>
      </w:r>
      <w:r w:rsidRPr="00A55275">
        <w:rPr>
          <w:rStyle w:val="othertitle"/>
          <w:color w:val="000000" w:themeColor="text1"/>
          <w:shd w:val="clear" w:color="auto" w:fill="FFFFFF"/>
        </w:rPr>
        <w:t>Save the Fraser River Delta from Mega Projects</w:t>
      </w:r>
      <w:r w:rsidRPr="00A55275">
        <w:rPr>
          <w:color w:val="000000" w:themeColor="text1"/>
          <w:shd w:val="clear" w:color="auto" w:fill="FFFFFF"/>
        </w:rPr>
        <w:t xml:space="preserve">. </w:t>
      </w:r>
      <w:r w:rsidRPr="00A55275">
        <w:rPr>
          <w:color w:val="000000" w:themeColor="text1"/>
          <w:shd w:val="clear" w:color="auto" w:fill="FFFFFF"/>
        </w:rPr>
        <w:tab/>
        <w:t>https://www.againstportexpansion.org/uploads/images/file_view/Fraser_River_Est</w:t>
      </w:r>
      <w:r w:rsidRPr="00A55275">
        <w:rPr>
          <w:color w:val="000000" w:themeColor="text1"/>
          <w:shd w:val="clear" w:color="auto" w:fill="FFFFFF"/>
        </w:rPr>
        <w:tab/>
        <w:t>uary_and_Mega_Projects_April_22_2016_A.pdf</w:t>
      </w:r>
    </w:p>
    <w:p w14:paraId="0BAFC816" w14:textId="4987FE8A" w:rsidR="00CA4CC2" w:rsidRPr="00640244" w:rsidRDefault="00CA4CC2" w:rsidP="000C53BC">
      <w:pPr>
        <w:pStyle w:val="NormalWeb"/>
        <w:spacing w:line="480" w:lineRule="auto"/>
        <w:ind w:left="480" w:hanging="480"/>
      </w:pPr>
      <w:r>
        <w:t xml:space="preserve">British Columbia Ministry of Environment. (2013). </w:t>
      </w:r>
      <w:r>
        <w:rPr>
          <w:i/>
          <w:iCs/>
        </w:rPr>
        <w:t xml:space="preserve">Sea Level Rise Adaptation Primer: </w:t>
      </w:r>
      <w:proofErr w:type="gramStart"/>
      <w:r>
        <w:rPr>
          <w:i/>
          <w:iCs/>
        </w:rPr>
        <w:t>a</w:t>
      </w:r>
      <w:proofErr w:type="gramEnd"/>
      <w:r>
        <w:rPr>
          <w:i/>
          <w:iCs/>
        </w:rPr>
        <w:t xml:space="preserve"> Toolkit to Build Adaptive Capacity on Canada’s South Coasts</w:t>
      </w:r>
      <w:r>
        <w:t>. https://www2.gov.bc.ca/assets/gov/environment/climate-change/adaptation/resources/slr-primer.pdf</w:t>
      </w:r>
    </w:p>
    <w:p w14:paraId="719BA7FD" w14:textId="77777777" w:rsidR="00CA4CC2" w:rsidRPr="00A55275" w:rsidRDefault="00CA4CC2" w:rsidP="000C53BC">
      <w:pPr>
        <w:spacing w:line="480" w:lineRule="auto"/>
        <w:ind w:firstLine="0"/>
        <w:rPr>
          <w:color w:val="000000" w:themeColor="text1"/>
        </w:rPr>
      </w:pPr>
      <w:r w:rsidRPr="00A55275">
        <w:rPr>
          <w:color w:val="000000" w:themeColor="text1"/>
        </w:rPr>
        <w:t xml:space="preserve">Cahoon, D.R. Hensel, P.F. Spencer, T. Reed, D.J. McKee, K.L. </w:t>
      </w:r>
      <w:proofErr w:type="spellStart"/>
      <w:r w:rsidRPr="00A55275">
        <w:rPr>
          <w:color w:val="000000" w:themeColor="text1"/>
        </w:rPr>
        <w:t>Saintilan</w:t>
      </w:r>
      <w:proofErr w:type="spellEnd"/>
      <w:r w:rsidRPr="00A55275">
        <w:rPr>
          <w:color w:val="000000" w:themeColor="text1"/>
        </w:rPr>
        <w:t xml:space="preserve">, N. (2016). Coastal </w:t>
      </w:r>
      <w:r w:rsidRPr="00A55275">
        <w:rPr>
          <w:color w:val="000000" w:themeColor="text1"/>
        </w:rPr>
        <w:tab/>
        <w:t xml:space="preserve">wetland vulnerability to relative sea-level rise: Wetland elevation trends and process </w:t>
      </w:r>
      <w:r w:rsidRPr="00A55275">
        <w:rPr>
          <w:color w:val="000000" w:themeColor="text1"/>
        </w:rPr>
        <w:tab/>
        <w:t xml:space="preserve">controls. In Wetlands and Natural Resource Management; Verhoeven, J.T.S., Beltman, </w:t>
      </w:r>
      <w:r w:rsidRPr="00A55275">
        <w:rPr>
          <w:color w:val="000000" w:themeColor="text1"/>
        </w:rPr>
        <w:tab/>
        <w:t xml:space="preserve">B., </w:t>
      </w:r>
      <w:proofErr w:type="spellStart"/>
      <w:r w:rsidRPr="00A55275">
        <w:rPr>
          <w:color w:val="000000" w:themeColor="text1"/>
        </w:rPr>
        <w:t>Bobbink</w:t>
      </w:r>
      <w:proofErr w:type="spellEnd"/>
      <w:r w:rsidRPr="00A55275">
        <w:rPr>
          <w:color w:val="000000" w:themeColor="text1"/>
        </w:rPr>
        <w:t xml:space="preserve">, R., </w:t>
      </w:r>
      <w:proofErr w:type="spellStart"/>
      <w:r w:rsidRPr="00A55275">
        <w:rPr>
          <w:color w:val="000000" w:themeColor="text1"/>
        </w:rPr>
        <w:t>Whingham</w:t>
      </w:r>
      <w:proofErr w:type="spellEnd"/>
      <w:r w:rsidRPr="00A55275">
        <w:rPr>
          <w:color w:val="000000" w:themeColor="text1"/>
        </w:rPr>
        <w:t>, D.F., Eds.; Springer: Berlin, Germany; 271–292.</w:t>
      </w:r>
    </w:p>
    <w:p w14:paraId="7B88975B" w14:textId="77777777" w:rsidR="00CA4CC2" w:rsidRPr="00A55275" w:rsidRDefault="00CA4CC2" w:rsidP="000C53BC">
      <w:pPr>
        <w:pStyle w:val="NormalWeb"/>
        <w:spacing w:line="480" w:lineRule="auto"/>
        <w:ind w:left="480" w:hanging="480"/>
        <w:rPr>
          <w:color w:val="000000" w:themeColor="text1"/>
          <w:szCs w:val="22"/>
        </w:rPr>
      </w:pPr>
      <w:r w:rsidRPr="00A55275">
        <w:rPr>
          <w:rFonts w:ascii="Calibri" w:hAnsi="Calibri" w:cs="Calibri"/>
          <w:color w:val="000000" w:themeColor="text1"/>
          <w:szCs w:val="22"/>
        </w:rPr>
        <w:t>﻿</w:t>
      </w:r>
      <w:proofErr w:type="spellStart"/>
      <w:r w:rsidRPr="00A55275">
        <w:rPr>
          <w:color w:val="000000" w:themeColor="text1"/>
          <w:szCs w:val="22"/>
          <w:lang w:val="da-DK"/>
        </w:rPr>
        <w:t>Canham</w:t>
      </w:r>
      <w:proofErr w:type="spellEnd"/>
      <w:r w:rsidRPr="00A55275">
        <w:rPr>
          <w:color w:val="000000" w:themeColor="text1"/>
          <w:szCs w:val="22"/>
          <w:lang w:val="da-DK"/>
        </w:rPr>
        <w:t xml:space="preserve">, R., Flemming, S. A., Hope, D. D., &amp; </w:t>
      </w:r>
      <w:proofErr w:type="spellStart"/>
      <w:r w:rsidRPr="00A55275">
        <w:rPr>
          <w:color w:val="000000" w:themeColor="text1"/>
          <w:szCs w:val="22"/>
          <w:lang w:val="da-DK"/>
        </w:rPr>
        <w:t>Drever</w:t>
      </w:r>
      <w:proofErr w:type="spellEnd"/>
      <w:r w:rsidRPr="00A55275">
        <w:rPr>
          <w:color w:val="000000" w:themeColor="text1"/>
          <w:szCs w:val="22"/>
          <w:lang w:val="da-DK"/>
        </w:rPr>
        <w:t xml:space="preserve">, M. C. (2021). </w:t>
      </w:r>
      <w:r w:rsidRPr="00A55275">
        <w:rPr>
          <w:color w:val="000000" w:themeColor="text1"/>
          <w:szCs w:val="22"/>
        </w:rPr>
        <w:t xml:space="preserve">Sandpipers go with the </w:t>
      </w:r>
      <w:r w:rsidRPr="00A55275">
        <w:rPr>
          <w:color w:val="000000" w:themeColor="text1"/>
          <w:szCs w:val="22"/>
        </w:rPr>
        <w:tab/>
        <w:t xml:space="preserve">flow: Correlations between estuarine conditions and shorebird abundance at an important </w:t>
      </w:r>
      <w:r w:rsidRPr="00A55275">
        <w:rPr>
          <w:color w:val="000000" w:themeColor="text1"/>
          <w:szCs w:val="22"/>
        </w:rPr>
        <w:tab/>
        <w:t xml:space="preserve">stopover on the Pacific Flyway. </w:t>
      </w:r>
      <w:r w:rsidRPr="00A55275">
        <w:rPr>
          <w:i/>
          <w:iCs/>
          <w:color w:val="000000" w:themeColor="text1"/>
          <w:szCs w:val="22"/>
        </w:rPr>
        <w:t>Ecology and Evolution</w:t>
      </w:r>
      <w:r w:rsidRPr="00A55275">
        <w:rPr>
          <w:color w:val="000000" w:themeColor="text1"/>
          <w:szCs w:val="22"/>
        </w:rPr>
        <w:t xml:space="preserve">, </w:t>
      </w:r>
      <w:r w:rsidRPr="00A55275">
        <w:rPr>
          <w:i/>
          <w:iCs/>
          <w:color w:val="000000" w:themeColor="text1"/>
          <w:szCs w:val="22"/>
        </w:rPr>
        <w:t>11</w:t>
      </w:r>
      <w:r w:rsidRPr="00A55275">
        <w:rPr>
          <w:color w:val="000000" w:themeColor="text1"/>
          <w:szCs w:val="22"/>
        </w:rPr>
        <w:t xml:space="preserve">(6), 2828–2841. </w:t>
      </w:r>
      <w:r w:rsidRPr="00A55275">
        <w:rPr>
          <w:color w:val="000000" w:themeColor="text1"/>
          <w:szCs w:val="22"/>
        </w:rPr>
        <w:tab/>
        <w:t>https://doi.org/10.1002/ECE3.7240</w:t>
      </w:r>
    </w:p>
    <w:p w14:paraId="42238767" w14:textId="77777777" w:rsidR="00CA4CC2" w:rsidRPr="00A55275" w:rsidRDefault="00CA4CC2" w:rsidP="000C53BC">
      <w:pPr>
        <w:pStyle w:val="NormalWeb"/>
        <w:spacing w:line="480" w:lineRule="auto"/>
        <w:ind w:left="480" w:hanging="480"/>
        <w:rPr>
          <w:szCs w:val="22"/>
        </w:rPr>
      </w:pPr>
      <w:r w:rsidRPr="00A55275">
        <w:rPr>
          <w:szCs w:val="22"/>
        </w:rPr>
        <w:t xml:space="preserve">Chaffin, B. C., Gosnell, H., &amp; Cosens, B. A. (2014). A decade of adaptive governance scholarship: synthesis and future directions. </w:t>
      </w:r>
      <w:r w:rsidRPr="00A55275">
        <w:rPr>
          <w:i/>
          <w:iCs/>
          <w:szCs w:val="22"/>
        </w:rPr>
        <w:t>Ecology and Society</w:t>
      </w:r>
      <w:r w:rsidRPr="00A55275">
        <w:rPr>
          <w:szCs w:val="22"/>
        </w:rPr>
        <w:t xml:space="preserve">, </w:t>
      </w:r>
      <w:r w:rsidRPr="00A55275">
        <w:rPr>
          <w:i/>
          <w:iCs/>
          <w:szCs w:val="22"/>
        </w:rPr>
        <w:t>19</w:t>
      </w:r>
      <w:r w:rsidRPr="00A55275">
        <w:rPr>
          <w:szCs w:val="22"/>
        </w:rPr>
        <w:t>(3). https://doi.org/10.5751/ES-06824-190356</w:t>
      </w:r>
    </w:p>
    <w:p w14:paraId="680E524F"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City of Surrey. (2019). </w:t>
      </w:r>
      <w:r w:rsidRPr="00A55275">
        <w:rPr>
          <w:i/>
          <w:iCs/>
          <w:color w:val="000000" w:themeColor="text1"/>
          <w:szCs w:val="22"/>
        </w:rPr>
        <w:t>Coastal Flood Adaptation Strategy Final Report</w:t>
      </w:r>
      <w:r w:rsidRPr="00A55275">
        <w:rPr>
          <w:color w:val="000000" w:themeColor="text1"/>
          <w:szCs w:val="22"/>
        </w:rPr>
        <w:t>.</w:t>
      </w:r>
    </w:p>
    <w:p w14:paraId="08787D04"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City of White Rock. (2010). </w:t>
      </w:r>
      <w:r w:rsidRPr="00A55275">
        <w:rPr>
          <w:i/>
          <w:iCs/>
          <w:color w:val="000000" w:themeColor="text1"/>
          <w:szCs w:val="22"/>
        </w:rPr>
        <w:t>Integrated Stormwater Management Plan</w:t>
      </w:r>
      <w:r w:rsidRPr="00A55275">
        <w:rPr>
          <w:color w:val="000000" w:themeColor="text1"/>
          <w:szCs w:val="22"/>
        </w:rPr>
        <w:t>.</w:t>
      </w:r>
    </w:p>
    <w:p w14:paraId="1160AD8A" w14:textId="77777777" w:rsidR="00CA4CC2" w:rsidRPr="00A55275" w:rsidRDefault="00CA4CC2" w:rsidP="000C53BC">
      <w:pPr>
        <w:spacing w:line="480" w:lineRule="auto"/>
        <w:ind w:firstLine="0"/>
        <w:rPr>
          <w:color w:val="000000" w:themeColor="text1"/>
        </w:rPr>
      </w:pPr>
      <w:r w:rsidRPr="00A55275">
        <w:rPr>
          <w:color w:val="000000" w:themeColor="text1"/>
        </w:rPr>
        <w:t xml:space="preserve">Clemens, R., Rogers, D. I., Hansen, B. D., </w:t>
      </w:r>
      <w:proofErr w:type="spellStart"/>
      <w:r w:rsidRPr="00A55275">
        <w:rPr>
          <w:color w:val="000000" w:themeColor="text1"/>
        </w:rPr>
        <w:t>Gosbell</w:t>
      </w:r>
      <w:proofErr w:type="spellEnd"/>
      <w:r w:rsidRPr="00A55275">
        <w:rPr>
          <w:color w:val="000000" w:themeColor="text1"/>
        </w:rPr>
        <w:t xml:space="preserve">, K., Minton, C. D., Straw, P., Bamford, M., </w:t>
      </w:r>
      <w:r w:rsidRPr="00A55275">
        <w:rPr>
          <w:color w:val="000000" w:themeColor="text1"/>
        </w:rPr>
        <w:tab/>
      </w:r>
      <w:proofErr w:type="spellStart"/>
      <w:r w:rsidRPr="00A55275">
        <w:rPr>
          <w:color w:val="000000" w:themeColor="text1"/>
        </w:rPr>
        <w:t>Woehler</w:t>
      </w:r>
      <w:proofErr w:type="spellEnd"/>
      <w:r w:rsidRPr="00A55275">
        <w:rPr>
          <w:color w:val="000000" w:themeColor="text1"/>
        </w:rPr>
        <w:t xml:space="preserve">, E. J., Milton, D. A., Weston, M. A., &amp; Venables, B. (2016). Continental-scale </w:t>
      </w:r>
      <w:r w:rsidRPr="00A55275">
        <w:rPr>
          <w:color w:val="000000" w:themeColor="text1"/>
        </w:rPr>
        <w:lastRenderedPageBreak/>
        <w:tab/>
        <w:t>decreases in shorebird populations in Australia. Emu-Austral Ornithology, 116(2), 119–</w:t>
      </w:r>
      <w:r w:rsidRPr="00A55275">
        <w:rPr>
          <w:color w:val="000000" w:themeColor="text1"/>
        </w:rPr>
        <w:tab/>
        <w:t>135.</w:t>
      </w:r>
    </w:p>
    <w:p w14:paraId="44EE4B9E"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Cooke, F. (2010). Ornithology and bird conservation in North America – a Canadian perspective. </w:t>
      </w:r>
      <w:r w:rsidRPr="00A55275">
        <w:rPr>
          <w:i/>
          <w:iCs/>
          <w:color w:val="000000" w:themeColor="text1"/>
          <w:szCs w:val="22"/>
        </w:rPr>
        <w:t>Http://Dx.Doi.Org/10.1080/00063650309461315</w:t>
      </w:r>
      <w:r w:rsidRPr="00A55275">
        <w:rPr>
          <w:color w:val="000000" w:themeColor="text1"/>
          <w:szCs w:val="22"/>
        </w:rPr>
        <w:t xml:space="preserve">, </w:t>
      </w:r>
      <w:r w:rsidRPr="00A55275">
        <w:rPr>
          <w:i/>
          <w:iCs/>
          <w:color w:val="000000" w:themeColor="text1"/>
          <w:szCs w:val="22"/>
        </w:rPr>
        <w:t>50</w:t>
      </w:r>
      <w:r w:rsidRPr="00A55275">
        <w:rPr>
          <w:color w:val="000000" w:themeColor="text1"/>
          <w:szCs w:val="22"/>
        </w:rPr>
        <w:t>(3), 211–222. https://doi.org/10.1080/00063650309461315</w:t>
      </w:r>
    </w:p>
    <w:p w14:paraId="04D7C6FE" w14:textId="77777777" w:rsidR="00CA4CC2" w:rsidRPr="00A55275" w:rsidRDefault="00CA4CC2" w:rsidP="000C53BC">
      <w:pPr>
        <w:pStyle w:val="NormalWeb"/>
        <w:spacing w:line="480" w:lineRule="auto"/>
        <w:ind w:left="480" w:hanging="480"/>
        <w:rPr>
          <w:szCs w:val="22"/>
        </w:rPr>
      </w:pPr>
      <w:r w:rsidRPr="00A55275">
        <w:rPr>
          <w:color w:val="000000"/>
          <w:szCs w:val="22"/>
          <w:shd w:val="clear" w:color="auto" w:fill="FFFFFF"/>
        </w:rPr>
        <w:t>Creswell, &amp; Creswell, J. D. (2018). </w:t>
      </w:r>
      <w:r w:rsidRPr="00A55275">
        <w:rPr>
          <w:i/>
          <w:iCs/>
          <w:color w:val="000000"/>
          <w:szCs w:val="22"/>
          <w:shd w:val="clear" w:color="auto" w:fill="FFFFFF"/>
        </w:rPr>
        <w:t xml:space="preserve">Research design: qualitative, quantitative, and mixed methods </w:t>
      </w:r>
      <w:proofErr w:type="gramStart"/>
      <w:r w:rsidRPr="00A55275">
        <w:rPr>
          <w:i/>
          <w:iCs/>
          <w:color w:val="000000"/>
          <w:szCs w:val="22"/>
          <w:shd w:val="clear" w:color="auto" w:fill="FFFFFF"/>
        </w:rPr>
        <w:t>approaches</w:t>
      </w:r>
      <w:proofErr w:type="gramEnd"/>
      <w:r w:rsidRPr="00A55275">
        <w:rPr>
          <w:i/>
          <w:iCs/>
          <w:color w:val="000000"/>
          <w:szCs w:val="22"/>
          <w:shd w:val="clear" w:color="auto" w:fill="FFFFFF"/>
        </w:rPr>
        <w:t>.</w:t>
      </w:r>
      <w:r w:rsidRPr="00A55275">
        <w:rPr>
          <w:color w:val="000000"/>
          <w:szCs w:val="22"/>
          <w:shd w:val="clear" w:color="auto" w:fill="FFFFFF"/>
        </w:rPr>
        <w:t> (Fifth edition.). SAGE Publications, Inc.</w:t>
      </w:r>
    </w:p>
    <w:p w14:paraId="64F9A289" w14:textId="77777777" w:rsidR="00CA4CC2" w:rsidRPr="00A55275" w:rsidRDefault="00CA4CC2" w:rsidP="000C53BC">
      <w:pPr>
        <w:pStyle w:val="NormalWeb"/>
        <w:spacing w:line="480" w:lineRule="auto"/>
        <w:ind w:left="480" w:hanging="480"/>
        <w:rPr>
          <w:szCs w:val="22"/>
        </w:rPr>
      </w:pPr>
      <w:r w:rsidRPr="00A55275">
        <w:rPr>
          <w:szCs w:val="22"/>
        </w:rPr>
        <w:t xml:space="preserve">Creswell, J. W., Hanson, W. E., Clark Plano, V. L., &amp; Morales, A. (2016). Qualitative Research Designs. </w:t>
      </w:r>
      <w:r w:rsidRPr="00A55275">
        <w:rPr>
          <w:i/>
          <w:iCs/>
          <w:szCs w:val="22"/>
        </w:rPr>
        <w:t>Http://Dx.Doi.Org/10.1177/0011000006287390</w:t>
      </w:r>
      <w:r w:rsidRPr="00A55275">
        <w:rPr>
          <w:szCs w:val="22"/>
        </w:rPr>
        <w:t xml:space="preserve">, </w:t>
      </w:r>
      <w:r w:rsidRPr="00A55275">
        <w:rPr>
          <w:i/>
          <w:iCs/>
          <w:szCs w:val="22"/>
        </w:rPr>
        <w:t>35</w:t>
      </w:r>
      <w:r w:rsidRPr="00A55275">
        <w:rPr>
          <w:szCs w:val="22"/>
        </w:rPr>
        <w:t>(2), 236–264. https://doi.org/10.1177/0011000006287390</w:t>
      </w:r>
    </w:p>
    <w:p w14:paraId="57DD5EAD"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Cu, K. (2022, April 26). </w:t>
      </w:r>
      <w:r w:rsidRPr="00A55275">
        <w:rPr>
          <w:i/>
          <w:iCs/>
          <w:color w:val="000000" w:themeColor="text1"/>
          <w:szCs w:val="22"/>
        </w:rPr>
        <w:t>Choosing a Sustainable Future for the Fraser River Estuary</w:t>
      </w:r>
      <w:r w:rsidRPr="00A55275">
        <w:rPr>
          <w:color w:val="000000" w:themeColor="text1"/>
          <w:szCs w:val="22"/>
        </w:rPr>
        <w:t xml:space="preserve">. Birds Canada | </w:t>
      </w:r>
      <w:proofErr w:type="spellStart"/>
      <w:r w:rsidRPr="00A55275">
        <w:rPr>
          <w:color w:val="000000" w:themeColor="text1"/>
          <w:szCs w:val="22"/>
        </w:rPr>
        <w:t>Oiseaux</w:t>
      </w:r>
      <w:proofErr w:type="spellEnd"/>
      <w:r w:rsidRPr="00A55275">
        <w:rPr>
          <w:color w:val="000000" w:themeColor="text1"/>
          <w:szCs w:val="22"/>
        </w:rPr>
        <w:t xml:space="preserve"> Canada. https://www.birdscanada.org/choosing-a-sustainable-future-for-the-fraser-river-estuary</w:t>
      </w:r>
    </w:p>
    <w:p w14:paraId="45A81B30" w14:textId="362081AB" w:rsidR="00CA4CC2" w:rsidRPr="00A55275" w:rsidRDefault="00CA4CC2" w:rsidP="000C53BC">
      <w:pPr>
        <w:spacing w:line="480" w:lineRule="auto"/>
        <w:ind w:firstLine="0"/>
        <w:rPr>
          <w:color w:val="000000" w:themeColor="text1"/>
        </w:rPr>
      </w:pPr>
      <w:r w:rsidRPr="00A55275">
        <w:rPr>
          <w:color w:val="000000" w:themeColor="text1"/>
        </w:rPr>
        <w:t xml:space="preserve">Dietz, T., E. Ostrom, and P. C. Stern. (2003). The struggle to govern the commons. Science </w:t>
      </w:r>
      <w:r w:rsidRPr="00A55275">
        <w:rPr>
          <w:color w:val="000000" w:themeColor="text1"/>
        </w:rPr>
        <w:tab/>
        <w:t>302(5652):1907-1912. https://doi. org/10.1126/science.1091015</w:t>
      </w:r>
    </w:p>
    <w:p w14:paraId="5D27E48A" w14:textId="15745299" w:rsidR="00CA4CC2" w:rsidRPr="00A55275" w:rsidRDefault="00CA4CC2" w:rsidP="000C53BC">
      <w:pPr>
        <w:spacing w:line="480" w:lineRule="auto"/>
        <w:ind w:firstLine="0"/>
        <w:rPr>
          <w:color w:val="000000" w:themeColor="text1"/>
        </w:rPr>
      </w:pPr>
      <w:r w:rsidRPr="00A55275">
        <w:rPr>
          <w:color w:val="000000" w:themeColor="text1"/>
        </w:rPr>
        <w:t xml:space="preserve">Donohue, I., Petchey, O.L., Montoya, J.M., Jackson, A.L., McNally, L., Viana, M., Emmerson, </w:t>
      </w:r>
      <w:r w:rsidRPr="00A55275">
        <w:rPr>
          <w:color w:val="000000" w:themeColor="text1"/>
        </w:rPr>
        <w:tab/>
        <w:t xml:space="preserve">M.C. (2013). On the dimensionality of ecological stability. Ecol. Lett. 16: 421–429. </w:t>
      </w:r>
    </w:p>
    <w:p w14:paraId="5E7775BF" w14:textId="77777777" w:rsidR="00CA4CC2" w:rsidRPr="00A55275" w:rsidRDefault="00CA4CC2" w:rsidP="000C53BC">
      <w:pPr>
        <w:pStyle w:val="NormalWeb"/>
        <w:spacing w:line="480" w:lineRule="auto"/>
        <w:ind w:left="480" w:hanging="480"/>
        <w:rPr>
          <w:rStyle w:val="author"/>
          <w:color w:val="000000" w:themeColor="text1"/>
          <w:szCs w:val="22"/>
        </w:rPr>
      </w:pPr>
      <w:r w:rsidRPr="00A55275">
        <w:rPr>
          <w:color w:val="000000" w:themeColor="text1"/>
          <w:szCs w:val="22"/>
        </w:rPr>
        <w:t xml:space="preserve">Dunn, M. W. (1978). </w:t>
      </w:r>
      <w:r w:rsidRPr="00A55275">
        <w:rPr>
          <w:i/>
          <w:iCs/>
          <w:color w:val="000000" w:themeColor="text1"/>
          <w:szCs w:val="22"/>
        </w:rPr>
        <w:t>Fraser River Estuary Study Constitutional and Legislative Frameworks</w:t>
      </w:r>
      <w:r w:rsidRPr="00A55275">
        <w:rPr>
          <w:color w:val="000000" w:themeColor="text1"/>
          <w:szCs w:val="22"/>
        </w:rPr>
        <w:t xml:space="preserve">. Fisheries and Environment Canada. </w:t>
      </w:r>
    </w:p>
    <w:p w14:paraId="27ED04A4" w14:textId="6A90BC4C" w:rsidR="00CA4CC2" w:rsidRPr="00A55275" w:rsidRDefault="00CA4CC2" w:rsidP="000C53BC">
      <w:pPr>
        <w:spacing w:line="480" w:lineRule="auto"/>
        <w:ind w:firstLine="0"/>
        <w:rPr>
          <w:color w:val="000000" w:themeColor="text1"/>
        </w:rPr>
      </w:pPr>
      <w:proofErr w:type="spellStart"/>
      <w:r w:rsidRPr="00A55275">
        <w:rPr>
          <w:rStyle w:val="author"/>
          <w:color w:val="000000" w:themeColor="text1"/>
          <w:shd w:val="clear" w:color="auto" w:fill="FFFFFF"/>
        </w:rPr>
        <w:t>Ens</w:t>
      </w:r>
      <w:proofErr w:type="spellEnd"/>
      <w:r w:rsidRPr="00A55275">
        <w:rPr>
          <w:rStyle w:val="author"/>
          <w:color w:val="000000" w:themeColor="text1"/>
          <w:shd w:val="clear" w:color="auto" w:fill="FFFFFF"/>
        </w:rPr>
        <w:t>, E.</w:t>
      </w:r>
      <w:r w:rsidRPr="00A55275">
        <w:rPr>
          <w:color w:val="000000" w:themeColor="text1"/>
          <w:shd w:val="clear" w:color="auto" w:fill="FFFFFF"/>
        </w:rPr>
        <w:t>, </w:t>
      </w:r>
      <w:r w:rsidRPr="00A55275">
        <w:rPr>
          <w:rStyle w:val="author"/>
          <w:color w:val="000000" w:themeColor="text1"/>
          <w:shd w:val="clear" w:color="auto" w:fill="FFFFFF"/>
        </w:rPr>
        <w:t>Scott, M. L.</w:t>
      </w:r>
      <w:r w:rsidRPr="00A55275">
        <w:rPr>
          <w:color w:val="000000" w:themeColor="text1"/>
          <w:shd w:val="clear" w:color="auto" w:fill="FFFFFF"/>
        </w:rPr>
        <w:t>, </w:t>
      </w:r>
      <w:r w:rsidRPr="00A55275">
        <w:rPr>
          <w:rStyle w:val="author"/>
          <w:color w:val="000000" w:themeColor="text1"/>
          <w:shd w:val="clear" w:color="auto" w:fill="FFFFFF"/>
        </w:rPr>
        <w:t>Rangers, Y. M.</w:t>
      </w:r>
      <w:r w:rsidRPr="00A55275">
        <w:rPr>
          <w:color w:val="000000" w:themeColor="text1"/>
          <w:shd w:val="clear" w:color="auto" w:fill="FFFFFF"/>
        </w:rPr>
        <w:t>, </w:t>
      </w:r>
      <w:r w:rsidRPr="00A55275">
        <w:rPr>
          <w:rStyle w:val="author"/>
          <w:color w:val="000000" w:themeColor="text1"/>
          <w:shd w:val="clear" w:color="auto" w:fill="FFFFFF"/>
        </w:rPr>
        <w:t>Moritz, C.</w:t>
      </w:r>
      <w:r w:rsidRPr="00A55275">
        <w:rPr>
          <w:color w:val="000000" w:themeColor="text1"/>
          <w:shd w:val="clear" w:color="auto" w:fill="FFFFFF"/>
        </w:rPr>
        <w:t>, &amp; </w:t>
      </w:r>
      <w:proofErr w:type="spellStart"/>
      <w:r w:rsidRPr="00A55275">
        <w:rPr>
          <w:rStyle w:val="author"/>
          <w:color w:val="000000" w:themeColor="text1"/>
          <w:shd w:val="clear" w:color="auto" w:fill="FFFFFF"/>
        </w:rPr>
        <w:t>Pirzl</w:t>
      </w:r>
      <w:proofErr w:type="spellEnd"/>
      <w:r w:rsidRPr="00A55275">
        <w:rPr>
          <w:rStyle w:val="author"/>
          <w:color w:val="000000" w:themeColor="text1"/>
          <w:shd w:val="clear" w:color="auto" w:fill="FFFFFF"/>
        </w:rPr>
        <w:t>, R.</w:t>
      </w:r>
      <w:r w:rsidRPr="00A55275">
        <w:rPr>
          <w:color w:val="000000" w:themeColor="text1"/>
          <w:shd w:val="clear" w:color="auto" w:fill="FFFFFF"/>
        </w:rPr>
        <w:t> (</w:t>
      </w:r>
      <w:r w:rsidRPr="00A55275">
        <w:rPr>
          <w:rStyle w:val="pubyear"/>
          <w:color w:val="000000" w:themeColor="text1"/>
          <w:shd w:val="clear" w:color="auto" w:fill="FFFFFF"/>
        </w:rPr>
        <w:t>2016</w:t>
      </w:r>
      <w:r w:rsidRPr="00A55275">
        <w:rPr>
          <w:color w:val="000000" w:themeColor="text1"/>
          <w:shd w:val="clear" w:color="auto" w:fill="FFFFFF"/>
        </w:rPr>
        <w:t>). </w:t>
      </w:r>
      <w:r w:rsidRPr="00A55275">
        <w:rPr>
          <w:rStyle w:val="articletitle"/>
          <w:color w:val="000000" w:themeColor="text1"/>
          <w:shd w:val="clear" w:color="auto" w:fill="FFFFFF"/>
        </w:rPr>
        <w:t xml:space="preserve">Putting indigenous </w:t>
      </w:r>
      <w:r w:rsidRPr="00A55275">
        <w:rPr>
          <w:rStyle w:val="articletitle"/>
          <w:color w:val="000000" w:themeColor="text1"/>
          <w:shd w:val="clear" w:color="auto" w:fill="FFFFFF"/>
        </w:rPr>
        <w:tab/>
        <w:t>conservation policy into practice delivers biodiversity and cultural benefits</w:t>
      </w:r>
      <w:r w:rsidRPr="00A55275">
        <w:rPr>
          <w:color w:val="000000" w:themeColor="text1"/>
          <w:shd w:val="clear" w:color="auto" w:fill="FFFFFF"/>
        </w:rPr>
        <w:t>. </w:t>
      </w:r>
      <w:r w:rsidRPr="00A55275">
        <w:rPr>
          <w:i/>
          <w:iCs/>
          <w:color w:val="000000" w:themeColor="text1"/>
          <w:shd w:val="clear" w:color="auto" w:fill="FFFFFF"/>
        </w:rPr>
        <w:t xml:space="preserve">Biodiversity </w:t>
      </w:r>
      <w:r w:rsidRPr="00A55275">
        <w:rPr>
          <w:i/>
          <w:iCs/>
          <w:color w:val="000000" w:themeColor="text1"/>
          <w:shd w:val="clear" w:color="auto" w:fill="FFFFFF"/>
        </w:rPr>
        <w:tab/>
        <w:t>and Conservation</w:t>
      </w:r>
      <w:r w:rsidRPr="00A55275">
        <w:rPr>
          <w:color w:val="000000" w:themeColor="text1"/>
          <w:shd w:val="clear" w:color="auto" w:fill="FFFFFF"/>
        </w:rPr>
        <w:t>, </w:t>
      </w:r>
      <w:r w:rsidRPr="00A55275">
        <w:rPr>
          <w:rStyle w:val="vol"/>
          <w:b/>
          <w:bCs/>
          <w:color w:val="000000" w:themeColor="text1"/>
          <w:shd w:val="clear" w:color="auto" w:fill="FFFFFF"/>
        </w:rPr>
        <w:t>25</w:t>
      </w:r>
      <w:r w:rsidRPr="00A55275">
        <w:rPr>
          <w:color w:val="000000" w:themeColor="text1"/>
          <w:shd w:val="clear" w:color="auto" w:fill="FFFFFF"/>
        </w:rPr>
        <w:t>, </w:t>
      </w:r>
      <w:r w:rsidRPr="00A55275">
        <w:rPr>
          <w:rStyle w:val="pagefirst"/>
          <w:color w:val="000000" w:themeColor="text1"/>
          <w:shd w:val="clear" w:color="auto" w:fill="FFFFFF"/>
        </w:rPr>
        <w:t>2889</w:t>
      </w:r>
      <w:r w:rsidRPr="00A55275">
        <w:rPr>
          <w:color w:val="000000" w:themeColor="text1"/>
          <w:shd w:val="clear" w:color="auto" w:fill="FFFFFF"/>
        </w:rPr>
        <w:t>– </w:t>
      </w:r>
      <w:r w:rsidRPr="00A55275">
        <w:rPr>
          <w:rStyle w:val="pagelast"/>
          <w:color w:val="000000" w:themeColor="text1"/>
          <w:shd w:val="clear" w:color="auto" w:fill="FFFFFF"/>
        </w:rPr>
        <w:t>2906</w:t>
      </w:r>
      <w:r w:rsidRPr="00A55275">
        <w:rPr>
          <w:color w:val="000000" w:themeColor="text1"/>
          <w:shd w:val="clear" w:color="auto" w:fill="FFFFFF"/>
        </w:rPr>
        <w:t>. </w:t>
      </w:r>
      <w:r w:rsidRPr="0092628B">
        <w:rPr>
          <w:shd w:val="clear" w:color="auto" w:fill="FFFFFF"/>
        </w:rPr>
        <w:t>https://doi.org/10.1007/s10531-016-1207-6</w:t>
      </w:r>
    </w:p>
    <w:p w14:paraId="4AD7E2C4" w14:textId="77777777" w:rsidR="00CA4CC2" w:rsidRPr="00A55275" w:rsidRDefault="00CA4CC2" w:rsidP="000C53BC">
      <w:pPr>
        <w:spacing w:line="480" w:lineRule="auto"/>
        <w:rPr>
          <w:color w:val="000000" w:themeColor="text1"/>
        </w:rPr>
      </w:pPr>
    </w:p>
    <w:p w14:paraId="0188FAEC" w14:textId="35A3C639" w:rsidR="00CA4CC2" w:rsidRPr="00A55275" w:rsidRDefault="00CA4CC2" w:rsidP="000C53BC">
      <w:pPr>
        <w:spacing w:line="480" w:lineRule="auto"/>
        <w:ind w:firstLine="0"/>
        <w:rPr>
          <w:color w:val="000000" w:themeColor="text1"/>
        </w:rPr>
      </w:pPr>
      <w:proofErr w:type="spellStart"/>
      <w:r w:rsidRPr="00A55275">
        <w:rPr>
          <w:color w:val="000000" w:themeColor="text1"/>
        </w:rPr>
        <w:t>Fagherazzi</w:t>
      </w:r>
      <w:proofErr w:type="spellEnd"/>
      <w:r w:rsidRPr="00A55275">
        <w:rPr>
          <w:color w:val="000000" w:themeColor="text1"/>
        </w:rPr>
        <w:t xml:space="preserve">, S., Kirwan, M.L., Mudd, S.M., </w:t>
      </w:r>
      <w:proofErr w:type="spellStart"/>
      <w:r w:rsidRPr="00A55275">
        <w:rPr>
          <w:color w:val="000000" w:themeColor="text1"/>
        </w:rPr>
        <w:t>Guntenspergen</w:t>
      </w:r>
      <w:proofErr w:type="spellEnd"/>
      <w:r w:rsidRPr="00A55275">
        <w:rPr>
          <w:color w:val="000000" w:themeColor="text1"/>
        </w:rPr>
        <w:t xml:space="preserve">, G.R., Temmerman, S., </w:t>
      </w:r>
      <w:proofErr w:type="spellStart"/>
      <w:r w:rsidRPr="00A55275">
        <w:rPr>
          <w:color w:val="000000" w:themeColor="text1"/>
        </w:rPr>
        <w:t>D’Alpaos</w:t>
      </w:r>
      <w:proofErr w:type="spellEnd"/>
      <w:r w:rsidRPr="00A55275">
        <w:rPr>
          <w:color w:val="000000" w:themeColor="text1"/>
        </w:rPr>
        <w:t xml:space="preserve">, </w:t>
      </w:r>
      <w:r w:rsidRPr="00A55275">
        <w:rPr>
          <w:color w:val="000000" w:themeColor="text1"/>
        </w:rPr>
        <w:tab/>
        <w:t xml:space="preserve">A., van de Koppel, J., </w:t>
      </w:r>
      <w:proofErr w:type="spellStart"/>
      <w:r w:rsidRPr="00A55275">
        <w:rPr>
          <w:color w:val="000000" w:themeColor="text1"/>
        </w:rPr>
        <w:t>Rybczyk</w:t>
      </w:r>
      <w:proofErr w:type="spellEnd"/>
      <w:r w:rsidRPr="00A55275">
        <w:rPr>
          <w:color w:val="000000" w:themeColor="text1"/>
        </w:rPr>
        <w:t xml:space="preserve">, J.M.; Reyes, E., Craft, C., et al. (2012). Numerical </w:t>
      </w:r>
      <w:r w:rsidRPr="00A55275">
        <w:rPr>
          <w:color w:val="000000" w:themeColor="text1"/>
        </w:rPr>
        <w:tab/>
        <w:t xml:space="preserve">models of salt marsh evolution: Ecological, geomorphic, and climatic factors. Rev. </w:t>
      </w:r>
      <w:r w:rsidRPr="00A55275">
        <w:rPr>
          <w:color w:val="000000" w:themeColor="text1"/>
        </w:rPr>
        <w:tab/>
      </w:r>
      <w:proofErr w:type="spellStart"/>
      <w:r w:rsidRPr="00A55275">
        <w:rPr>
          <w:color w:val="000000" w:themeColor="text1"/>
        </w:rPr>
        <w:t>Geophys</w:t>
      </w:r>
      <w:proofErr w:type="spellEnd"/>
      <w:r w:rsidRPr="00A55275">
        <w:rPr>
          <w:color w:val="000000" w:themeColor="text1"/>
        </w:rPr>
        <w:t>. 50:1–28.</w:t>
      </w:r>
    </w:p>
    <w:p w14:paraId="7F0EDE56" w14:textId="1CC1BACD" w:rsidR="00CA4CC2" w:rsidRPr="00A55275" w:rsidRDefault="00CA4CC2" w:rsidP="000C53BC">
      <w:pPr>
        <w:spacing w:line="480" w:lineRule="auto"/>
        <w:ind w:firstLine="0"/>
        <w:rPr>
          <w:color w:val="000000" w:themeColor="text1"/>
        </w:rPr>
      </w:pPr>
      <w:proofErr w:type="spellStart"/>
      <w:r w:rsidRPr="00A55275">
        <w:rPr>
          <w:color w:val="000000" w:themeColor="text1"/>
        </w:rPr>
        <w:t>Folke</w:t>
      </w:r>
      <w:proofErr w:type="spellEnd"/>
      <w:r w:rsidRPr="00A55275">
        <w:rPr>
          <w:color w:val="000000" w:themeColor="text1"/>
        </w:rPr>
        <w:t xml:space="preserve">, C., T. Hahn, P. Olsson, and J. Norberg. (2005). Adaptive governance of social-ecological </w:t>
      </w:r>
      <w:r w:rsidRPr="00A55275">
        <w:rPr>
          <w:color w:val="000000" w:themeColor="text1"/>
        </w:rPr>
        <w:tab/>
        <w:t xml:space="preserve">systems. Annual Review of Environment and Resources 30(1):441-473. </w:t>
      </w:r>
      <w:r w:rsidR="00127833">
        <w:rPr>
          <w:color w:val="000000" w:themeColor="text1"/>
        </w:rPr>
        <w:tab/>
      </w:r>
      <w:r w:rsidRPr="00521637">
        <w:rPr>
          <w:color w:val="000000" w:themeColor="text1"/>
        </w:rPr>
        <w:t>https://doi.org/10.1146/</w:t>
      </w:r>
      <w:r w:rsidRPr="00A55275">
        <w:rPr>
          <w:color w:val="000000" w:themeColor="text1"/>
        </w:rPr>
        <w:t xml:space="preserve"> </w:t>
      </w:r>
      <w:r>
        <w:rPr>
          <w:color w:val="000000" w:themeColor="text1"/>
        </w:rPr>
        <w:tab/>
      </w:r>
      <w:proofErr w:type="gramStart"/>
      <w:r w:rsidRPr="00A55275">
        <w:rPr>
          <w:color w:val="000000" w:themeColor="text1"/>
        </w:rPr>
        <w:t>annurev.energy</w:t>
      </w:r>
      <w:proofErr w:type="gramEnd"/>
      <w:r w:rsidRPr="00A55275">
        <w:rPr>
          <w:color w:val="000000" w:themeColor="text1"/>
        </w:rPr>
        <w:t>.30.050504.144511</w:t>
      </w:r>
    </w:p>
    <w:p w14:paraId="787488B1" w14:textId="77777777" w:rsidR="00CA4CC2" w:rsidRPr="00A55275" w:rsidRDefault="00CA4CC2" w:rsidP="000C53BC">
      <w:pPr>
        <w:pStyle w:val="NormalWeb"/>
        <w:spacing w:line="480" w:lineRule="auto"/>
        <w:ind w:left="480" w:hanging="480"/>
        <w:rPr>
          <w:b/>
          <w:bCs/>
          <w:color w:val="000000" w:themeColor="text1"/>
          <w:szCs w:val="22"/>
        </w:rPr>
      </w:pPr>
      <w:r w:rsidRPr="00A55275">
        <w:rPr>
          <w:color w:val="000000" w:themeColor="text1"/>
          <w:szCs w:val="22"/>
        </w:rPr>
        <w:t xml:space="preserve">Fraser Basin Council. (n.d.). </w:t>
      </w:r>
      <w:r w:rsidRPr="00A55275">
        <w:rPr>
          <w:i/>
          <w:iCs/>
          <w:color w:val="000000" w:themeColor="text1"/>
          <w:szCs w:val="22"/>
        </w:rPr>
        <w:t>Lower Mainland Flood Management Strategy.</w:t>
      </w:r>
      <w:r w:rsidRPr="00A55275">
        <w:rPr>
          <w:color w:val="000000" w:themeColor="text1"/>
          <w:szCs w:val="22"/>
        </w:rPr>
        <w:t xml:space="preserve"> Lower Mainland Flood Management Strategy initiative. </w:t>
      </w:r>
    </w:p>
    <w:p w14:paraId="29ACF8FF" w14:textId="77777777" w:rsidR="00CA4CC2" w:rsidRDefault="00CA4CC2" w:rsidP="000C53BC">
      <w:pPr>
        <w:pStyle w:val="NormalWeb"/>
        <w:spacing w:line="480" w:lineRule="auto"/>
        <w:ind w:left="480" w:hanging="480"/>
      </w:pPr>
      <w:r>
        <w:t xml:space="preserve">Fraser Basin Council. (2006). </w:t>
      </w:r>
      <w:r>
        <w:rPr>
          <w:i/>
          <w:iCs/>
        </w:rPr>
        <w:t xml:space="preserve">Bridge between Nations: </w:t>
      </w:r>
      <w:proofErr w:type="gramStart"/>
      <w:r>
        <w:rPr>
          <w:i/>
          <w:iCs/>
        </w:rPr>
        <w:t>a</w:t>
      </w:r>
      <w:proofErr w:type="gramEnd"/>
      <w:r>
        <w:rPr>
          <w:i/>
          <w:iCs/>
        </w:rPr>
        <w:t xml:space="preserve"> History of First Nations in the Fraser River Basin</w:t>
      </w:r>
      <w:r>
        <w:t>.</w:t>
      </w:r>
    </w:p>
    <w:p w14:paraId="6BD90A81"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Fraser Basin Council. (2016). </w:t>
      </w:r>
      <w:r w:rsidRPr="00A55275">
        <w:rPr>
          <w:i/>
          <w:iCs/>
          <w:color w:val="000000" w:themeColor="text1"/>
          <w:szCs w:val="22"/>
        </w:rPr>
        <w:t>Lower Mainland Flood Management Strategy Phase 1 Summary report</w:t>
      </w:r>
      <w:r w:rsidRPr="00A55275">
        <w:rPr>
          <w:color w:val="000000" w:themeColor="text1"/>
          <w:szCs w:val="22"/>
        </w:rPr>
        <w:t>.</w:t>
      </w:r>
    </w:p>
    <w:p w14:paraId="0074D5BA" w14:textId="3AB77A20" w:rsidR="00CA4CC2" w:rsidRPr="00A55275" w:rsidRDefault="00CA4CC2" w:rsidP="000C53BC">
      <w:pPr>
        <w:spacing w:line="480" w:lineRule="auto"/>
        <w:ind w:firstLine="0"/>
        <w:rPr>
          <w:color w:val="000000"/>
          <w:shd w:val="clear" w:color="auto" w:fill="FFFFFF"/>
        </w:rPr>
      </w:pPr>
      <w:r w:rsidRPr="00A55275">
        <w:rPr>
          <w:color w:val="000000"/>
          <w:shd w:val="clear" w:color="auto" w:fill="FFFFFF"/>
        </w:rPr>
        <w:t xml:space="preserve">Fraser River Estuary Management Program. (1997). </w:t>
      </w:r>
      <w:r w:rsidRPr="00A55275">
        <w:rPr>
          <w:i/>
          <w:iCs/>
          <w:color w:val="000000"/>
          <w:shd w:val="clear" w:color="auto" w:fill="FFFFFF"/>
        </w:rPr>
        <w:t xml:space="preserve">A living working river: an estuary </w:t>
      </w:r>
      <w:r w:rsidR="00AF52B1">
        <w:rPr>
          <w:i/>
          <w:iCs/>
          <w:color w:val="000000"/>
          <w:shd w:val="clear" w:color="auto" w:fill="FFFFFF"/>
        </w:rPr>
        <w:tab/>
      </w:r>
      <w:r w:rsidRPr="00A55275">
        <w:rPr>
          <w:i/>
          <w:iCs/>
          <w:color w:val="000000"/>
          <w:shd w:val="clear" w:color="auto" w:fill="FFFFFF"/>
        </w:rPr>
        <w:t>management plan for the Fraser River</w:t>
      </w:r>
      <w:r w:rsidRPr="00A55275">
        <w:rPr>
          <w:color w:val="000000"/>
          <w:shd w:val="clear" w:color="auto" w:fill="FFFFFF"/>
        </w:rPr>
        <w:t>. https://bieapfremp.org/emp</w:t>
      </w:r>
    </w:p>
    <w:p w14:paraId="1D37F28D" w14:textId="77777777" w:rsidR="00CA4CC2" w:rsidRPr="00A55275" w:rsidRDefault="00CA4CC2" w:rsidP="000C53BC">
      <w:pPr>
        <w:pStyle w:val="NormalWeb"/>
        <w:spacing w:line="480" w:lineRule="auto"/>
        <w:ind w:left="480" w:hanging="480"/>
        <w:rPr>
          <w:color w:val="000000" w:themeColor="text1"/>
          <w:szCs w:val="22"/>
        </w:rPr>
      </w:pPr>
      <w:r w:rsidRPr="00A55275">
        <w:rPr>
          <w:rFonts w:ascii="Calibri" w:hAnsi="Calibri" w:cs="Calibri"/>
          <w:color w:val="000000" w:themeColor="text1"/>
          <w:szCs w:val="22"/>
        </w:rPr>
        <w:t>﻿</w:t>
      </w:r>
      <w:r w:rsidRPr="00A55275">
        <w:rPr>
          <w:color w:val="000000" w:themeColor="text1"/>
          <w:szCs w:val="22"/>
        </w:rPr>
        <w:t xml:space="preserve"> Galbraith, H., </w:t>
      </w:r>
      <w:proofErr w:type="spellStart"/>
      <w:r w:rsidRPr="00A55275">
        <w:rPr>
          <w:color w:val="000000" w:themeColor="text1"/>
          <w:szCs w:val="22"/>
        </w:rPr>
        <w:t>DesRochers</w:t>
      </w:r>
      <w:proofErr w:type="spellEnd"/>
      <w:r w:rsidRPr="00A55275">
        <w:rPr>
          <w:color w:val="000000" w:themeColor="text1"/>
          <w:szCs w:val="22"/>
        </w:rPr>
        <w:t xml:space="preserve">, D. W., Brown, S., &amp; Reed, J. M. (2014). Predicting Vulnerabilities of North American Shorebirds to Climate Change. </w:t>
      </w:r>
      <w:r w:rsidRPr="00A55275">
        <w:rPr>
          <w:i/>
          <w:iCs/>
          <w:color w:val="000000" w:themeColor="text1"/>
          <w:szCs w:val="22"/>
        </w:rPr>
        <w:t>PLOS ONE</w:t>
      </w:r>
      <w:r w:rsidRPr="00A55275">
        <w:rPr>
          <w:color w:val="000000" w:themeColor="text1"/>
          <w:szCs w:val="22"/>
        </w:rPr>
        <w:t xml:space="preserve">, </w:t>
      </w:r>
      <w:r w:rsidRPr="00A55275">
        <w:rPr>
          <w:i/>
          <w:iCs/>
          <w:color w:val="000000" w:themeColor="text1"/>
          <w:szCs w:val="22"/>
        </w:rPr>
        <w:t>9</w:t>
      </w:r>
      <w:r w:rsidRPr="00A55275">
        <w:rPr>
          <w:color w:val="000000" w:themeColor="text1"/>
          <w:szCs w:val="22"/>
        </w:rPr>
        <w:t>(9), e108899. https://doi.org/10.1371/JOURNAL.PONE.0108899</w:t>
      </w:r>
    </w:p>
    <w:p w14:paraId="0660C49F" w14:textId="77777777" w:rsidR="00CA4CC2" w:rsidRPr="00A55275" w:rsidRDefault="00CA4CC2" w:rsidP="000C53BC">
      <w:pPr>
        <w:pStyle w:val="NormalWeb"/>
        <w:spacing w:line="480" w:lineRule="auto"/>
        <w:ind w:left="480" w:hanging="480"/>
        <w:rPr>
          <w:szCs w:val="22"/>
        </w:rPr>
      </w:pPr>
      <w:r w:rsidRPr="00A55275">
        <w:rPr>
          <w:rFonts w:ascii="Calibri" w:hAnsi="Calibri" w:cs="Calibri"/>
          <w:color w:val="000000" w:themeColor="text1"/>
          <w:szCs w:val="22"/>
        </w:rPr>
        <w:t>﻿</w:t>
      </w:r>
      <w:r w:rsidRPr="00A55275">
        <w:rPr>
          <w:szCs w:val="22"/>
          <w:lang w:val="fr-CA"/>
        </w:rPr>
        <w:t xml:space="preserve"> Gauthier, S., May, B., &amp; Vasseur, L. (2021). </w:t>
      </w:r>
      <w:r w:rsidRPr="00A55275">
        <w:rPr>
          <w:szCs w:val="22"/>
        </w:rPr>
        <w:t xml:space="preserve">Ecosystem-Based Adaptation to Protect Avian Species in Coastal Communities in the Greater Niagara Region, Canada. </w:t>
      </w:r>
      <w:r w:rsidRPr="00A55275">
        <w:rPr>
          <w:i/>
          <w:iCs/>
          <w:szCs w:val="22"/>
        </w:rPr>
        <w:t>Climate 2021, Vol. 9, Page 91</w:t>
      </w:r>
      <w:r w:rsidRPr="00A55275">
        <w:rPr>
          <w:szCs w:val="22"/>
        </w:rPr>
        <w:t xml:space="preserve">, </w:t>
      </w:r>
      <w:r w:rsidRPr="00A55275">
        <w:rPr>
          <w:i/>
          <w:iCs/>
          <w:szCs w:val="22"/>
        </w:rPr>
        <w:t>9</w:t>
      </w:r>
      <w:r w:rsidRPr="00A55275">
        <w:rPr>
          <w:szCs w:val="22"/>
        </w:rPr>
        <w:t>(6), 91. https://doi.org/10.3390/CLI9060091</w:t>
      </w:r>
    </w:p>
    <w:p w14:paraId="4963CBFC" w14:textId="77777777" w:rsidR="00CA4CC2" w:rsidRPr="009A666F" w:rsidRDefault="00CA4CC2" w:rsidP="000C53BC">
      <w:pPr>
        <w:pStyle w:val="NormalWeb"/>
        <w:spacing w:line="480" w:lineRule="auto"/>
        <w:ind w:left="480" w:hanging="480"/>
        <w:rPr>
          <w:rFonts w:ascii="Times" w:hAnsi="Times"/>
          <w:color w:val="000000" w:themeColor="text1"/>
        </w:rPr>
      </w:pPr>
      <w:proofErr w:type="spellStart"/>
      <w:r w:rsidRPr="009A666F">
        <w:rPr>
          <w:rFonts w:ascii="Times" w:hAnsi="Times"/>
          <w:color w:val="000000" w:themeColor="text1"/>
        </w:rPr>
        <w:lastRenderedPageBreak/>
        <w:t>Greenan</w:t>
      </w:r>
      <w:proofErr w:type="spellEnd"/>
      <w:r w:rsidRPr="009A666F">
        <w:rPr>
          <w:rFonts w:ascii="Times" w:hAnsi="Times"/>
          <w:color w:val="000000" w:themeColor="text1"/>
        </w:rPr>
        <w:t xml:space="preserve">, B.J.W., James, T.S., Loder, J.W., Pepin, P., </w:t>
      </w:r>
      <w:proofErr w:type="spellStart"/>
      <w:r w:rsidRPr="009A666F">
        <w:rPr>
          <w:rFonts w:ascii="Times" w:hAnsi="Times"/>
          <w:color w:val="000000" w:themeColor="text1"/>
        </w:rPr>
        <w:t>Azetsu</w:t>
      </w:r>
      <w:proofErr w:type="spellEnd"/>
      <w:r w:rsidRPr="009A666F">
        <w:rPr>
          <w:rFonts w:ascii="Times" w:hAnsi="Times"/>
          <w:color w:val="000000" w:themeColor="text1"/>
        </w:rPr>
        <w:t xml:space="preserve">-Scott, K., </w:t>
      </w:r>
      <w:proofErr w:type="spellStart"/>
      <w:r w:rsidRPr="009A666F">
        <w:rPr>
          <w:rFonts w:ascii="Times" w:hAnsi="Times"/>
          <w:color w:val="000000" w:themeColor="text1"/>
        </w:rPr>
        <w:t>Ianson</w:t>
      </w:r>
      <w:proofErr w:type="spellEnd"/>
      <w:r w:rsidRPr="009A666F">
        <w:rPr>
          <w:rFonts w:ascii="Times" w:hAnsi="Times"/>
          <w:color w:val="000000" w:themeColor="text1"/>
        </w:rPr>
        <w:t xml:space="preserve">, D., </w:t>
      </w:r>
      <w:proofErr w:type="spellStart"/>
      <w:r w:rsidRPr="009A666F">
        <w:rPr>
          <w:rFonts w:ascii="Times" w:hAnsi="Times"/>
          <w:color w:val="000000" w:themeColor="text1"/>
        </w:rPr>
        <w:t>Hamme</w:t>
      </w:r>
      <w:proofErr w:type="spellEnd"/>
      <w:r w:rsidRPr="009A666F">
        <w:rPr>
          <w:rFonts w:ascii="Times" w:hAnsi="Times"/>
          <w:color w:val="000000" w:themeColor="text1"/>
        </w:rPr>
        <w:t xml:space="preserve">, R.C., Gilbert, D., Tremblay, J-E., Wang, X.L. and Perrie, W. (2018): Changes in oceans surrounding Canada; Chapter 7 in (eds.) Bush and </w:t>
      </w:r>
      <w:proofErr w:type="spellStart"/>
      <w:r w:rsidRPr="009A666F">
        <w:rPr>
          <w:rFonts w:ascii="Times" w:hAnsi="Times"/>
          <w:color w:val="000000" w:themeColor="text1"/>
        </w:rPr>
        <w:t>Lemmen</w:t>
      </w:r>
      <w:proofErr w:type="spellEnd"/>
      <w:r w:rsidRPr="009A666F">
        <w:rPr>
          <w:rFonts w:ascii="Times" w:hAnsi="Times"/>
          <w:color w:val="000000" w:themeColor="text1"/>
        </w:rPr>
        <w:t>, Canada’s Changing Climate Report; Government of Canada, Ottawa, Ontario, p. 343–423.</w:t>
      </w:r>
    </w:p>
    <w:p w14:paraId="405B0B4B" w14:textId="7D897AA2" w:rsidR="00CA4CC2" w:rsidRPr="00A55275" w:rsidRDefault="00CA4CC2" w:rsidP="000C53BC">
      <w:pPr>
        <w:spacing w:line="480" w:lineRule="auto"/>
        <w:ind w:firstLine="0"/>
        <w:rPr>
          <w:color w:val="000000" w:themeColor="text1"/>
        </w:rPr>
      </w:pPr>
      <w:r w:rsidRPr="00A55275">
        <w:rPr>
          <w:color w:val="000000" w:themeColor="text1"/>
        </w:rPr>
        <w:t xml:space="preserve">Groulx Bertrand J. and Geological Survey of Canada, (2004). Fraser River Delta, British </w:t>
      </w:r>
      <w:r w:rsidR="001C1910">
        <w:rPr>
          <w:color w:val="000000" w:themeColor="text1"/>
        </w:rPr>
        <w:tab/>
      </w:r>
      <w:r w:rsidRPr="00A55275">
        <w:rPr>
          <w:color w:val="000000" w:themeColor="text1"/>
        </w:rPr>
        <w:t>Columbia: Issues of an Urban Estuary, Ottawa, Geological Survey of Canada.</w:t>
      </w:r>
    </w:p>
    <w:p w14:paraId="7FCD212C" w14:textId="77777777" w:rsidR="00CA4CC2" w:rsidRPr="00376B80" w:rsidRDefault="00CA4CC2" w:rsidP="000C53BC">
      <w:pPr>
        <w:pStyle w:val="NormalWeb"/>
        <w:spacing w:line="480" w:lineRule="auto"/>
        <w:ind w:left="480" w:hanging="480"/>
        <w:rPr>
          <w:rFonts w:ascii="Times" w:hAnsi="Times"/>
        </w:rPr>
      </w:pPr>
      <w:r w:rsidRPr="00A55275">
        <w:rPr>
          <w:rFonts w:ascii="Calibri" w:hAnsi="Calibri" w:cs="Calibri"/>
          <w:color w:val="000000" w:themeColor="text1"/>
          <w:szCs w:val="22"/>
        </w:rPr>
        <w:t>﻿</w:t>
      </w:r>
      <w:r w:rsidRPr="00F23141">
        <w:rPr>
          <w:rFonts w:ascii="Times" w:hAnsi="Times"/>
        </w:rPr>
        <w:t xml:space="preserve"> </w:t>
      </w:r>
      <w:proofErr w:type="spellStart"/>
      <w:r w:rsidRPr="00376B80">
        <w:rPr>
          <w:rFonts w:ascii="Times" w:hAnsi="Times"/>
        </w:rPr>
        <w:t>Guerry</w:t>
      </w:r>
      <w:proofErr w:type="spellEnd"/>
      <w:r w:rsidRPr="00376B80">
        <w:rPr>
          <w:rFonts w:ascii="Times" w:hAnsi="Times"/>
        </w:rPr>
        <w:t xml:space="preserve">, A. D., Silver, J., Beagle, J., Wyatt, K., Arkema, K., Lowe, J., Hamel, P., Griffin, R., </w:t>
      </w:r>
      <w:proofErr w:type="spellStart"/>
      <w:r w:rsidRPr="00376B80">
        <w:rPr>
          <w:rFonts w:ascii="Times" w:hAnsi="Times"/>
        </w:rPr>
        <w:t>Wolny</w:t>
      </w:r>
      <w:proofErr w:type="spellEnd"/>
      <w:r w:rsidRPr="00376B80">
        <w:rPr>
          <w:rFonts w:ascii="Times" w:hAnsi="Times"/>
        </w:rPr>
        <w:t xml:space="preserve">, S., Plane, E., Griswold, M., </w:t>
      </w:r>
      <w:proofErr w:type="spellStart"/>
      <w:r w:rsidRPr="00376B80">
        <w:rPr>
          <w:rFonts w:ascii="Times" w:hAnsi="Times"/>
        </w:rPr>
        <w:t>Papendick</w:t>
      </w:r>
      <w:proofErr w:type="spellEnd"/>
      <w:r w:rsidRPr="00376B80">
        <w:rPr>
          <w:rFonts w:ascii="Times" w:hAnsi="Times"/>
        </w:rPr>
        <w:t xml:space="preserve">, H., &amp; Sharma, J. (2022). Protection and restoration of coastal habitats yield multiple benefits for urban residents as sea levels rise. </w:t>
      </w:r>
      <w:proofErr w:type="spellStart"/>
      <w:r w:rsidRPr="00376B80">
        <w:rPr>
          <w:rFonts w:ascii="Times" w:hAnsi="Times"/>
          <w:i/>
          <w:iCs/>
        </w:rPr>
        <w:t>Npj</w:t>
      </w:r>
      <w:proofErr w:type="spellEnd"/>
      <w:r w:rsidRPr="00376B80">
        <w:rPr>
          <w:rFonts w:ascii="Times" w:hAnsi="Times"/>
          <w:i/>
          <w:iCs/>
        </w:rPr>
        <w:t xml:space="preserve"> Urban Sustainability 2022 2:1</w:t>
      </w:r>
      <w:r w:rsidRPr="00376B80">
        <w:rPr>
          <w:rFonts w:ascii="Times" w:hAnsi="Times"/>
        </w:rPr>
        <w:t xml:space="preserve">, </w:t>
      </w:r>
      <w:r w:rsidRPr="00376B80">
        <w:rPr>
          <w:rFonts w:ascii="Times" w:hAnsi="Times"/>
          <w:i/>
          <w:iCs/>
        </w:rPr>
        <w:t>2</w:t>
      </w:r>
      <w:r w:rsidRPr="00376B80">
        <w:rPr>
          <w:rFonts w:ascii="Times" w:hAnsi="Times"/>
        </w:rPr>
        <w:t>(1), 1–12. https://doi.org/10.1038/s42949-022-00056-y</w:t>
      </w:r>
    </w:p>
    <w:p w14:paraId="7B7E8885" w14:textId="77777777" w:rsidR="00CA4CC2" w:rsidRPr="009A666F" w:rsidRDefault="00CA4CC2" w:rsidP="000C53BC">
      <w:pPr>
        <w:autoSpaceDE w:val="0"/>
        <w:autoSpaceDN w:val="0"/>
        <w:adjustRightInd w:val="0"/>
        <w:spacing w:after="100" w:line="480" w:lineRule="auto"/>
        <w:ind w:firstLine="0"/>
        <w:rPr>
          <w:rFonts w:ascii="Times" w:hAnsi="Times" w:cs="Times"/>
          <w:color w:val="000000" w:themeColor="text1"/>
        </w:rPr>
      </w:pPr>
      <w:r w:rsidRPr="009A666F">
        <w:rPr>
          <w:rFonts w:ascii="Times" w:hAnsi="Times" w:cs="Times"/>
          <w:color w:val="000000" w:themeColor="text1"/>
        </w:rPr>
        <w:t xml:space="preserve">Gunderson, L. (1999). Resilience, </w:t>
      </w:r>
      <w:proofErr w:type="gramStart"/>
      <w:r w:rsidRPr="009A666F">
        <w:rPr>
          <w:rFonts w:ascii="Times" w:hAnsi="Times" w:cs="Times"/>
          <w:color w:val="000000" w:themeColor="text1"/>
        </w:rPr>
        <w:t>flexibility</w:t>
      </w:r>
      <w:proofErr w:type="gramEnd"/>
      <w:r w:rsidRPr="009A666F">
        <w:rPr>
          <w:rFonts w:ascii="Times" w:hAnsi="Times" w:cs="Times"/>
          <w:color w:val="000000" w:themeColor="text1"/>
        </w:rPr>
        <w:t xml:space="preserve"> and adaptive management: antidotes for spurious </w:t>
      </w:r>
      <w:r w:rsidRPr="009A666F">
        <w:rPr>
          <w:rFonts w:ascii="Times" w:hAnsi="Times" w:cs="Times"/>
          <w:color w:val="000000" w:themeColor="text1"/>
        </w:rPr>
        <w:tab/>
        <w:t>certitude? Conservation Ecology 3(1):7. https://doi.org/10.5751/es-00089-030107</w:t>
      </w:r>
    </w:p>
    <w:p w14:paraId="32B5F7DB" w14:textId="7AFEEB29" w:rsidR="00CA4CC2" w:rsidRPr="00A55275" w:rsidRDefault="00CA4CC2" w:rsidP="000C53BC">
      <w:pPr>
        <w:spacing w:line="480" w:lineRule="auto"/>
        <w:ind w:firstLine="0"/>
        <w:rPr>
          <w:color w:val="000000" w:themeColor="text1"/>
        </w:rPr>
      </w:pPr>
      <w:r w:rsidRPr="00A55275">
        <w:rPr>
          <w:color w:val="000000" w:themeColor="text1"/>
        </w:rPr>
        <w:t xml:space="preserve">Halpern, B.S., Frazier, M., Potapenko, J., Casey, K.S., Koenig, K., Longo, C., Lowndes, J.S., </w:t>
      </w:r>
      <w:r w:rsidRPr="00A55275">
        <w:rPr>
          <w:color w:val="000000" w:themeColor="text1"/>
        </w:rPr>
        <w:tab/>
        <w:t xml:space="preserve">Rockwood, R.C., Selig, E.R., </w:t>
      </w:r>
      <w:proofErr w:type="spellStart"/>
      <w:r w:rsidRPr="00A55275">
        <w:rPr>
          <w:color w:val="000000" w:themeColor="text1"/>
        </w:rPr>
        <w:t>Selkoe</w:t>
      </w:r>
      <w:proofErr w:type="spellEnd"/>
      <w:r w:rsidRPr="00A55275">
        <w:rPr>
          <w:color w:val="000000" w:themeColor="text1"/>
        </w:rPr>
        <w:t xml:space="preserve">, K.A., et al. (2015). Spatial and temporal changes in </w:t>
      </w:r>
      <w:r w:rsidRPr="00A55275">
        <w:rPr>
          <w:color w:val="000000" w:themeColor="text1"/>
        </w:rPr>
        <w:tab/>
        <w:t xml:space="preserve">cumulative human impacts on the world’s ocean. Nat. </w:t>
      </w:r>
      <w:proofErr w:type="spellStart"/>
      <w:r w:rsidRPr="00A55275">
        <w:rPr>
          <w:color w:val="000000" w:themeColor="text1"/>
        </w:rPr>
        <w:t>Commun</w:t>
      </w:r>
      <w:proofErr w:type="spellEnd"/>
      <w:r w:rsidRPr="00A55275">
        <w:rPr>
          <w:color w:val="000000" w:themeColor="text1"/>
        </w:rPr>
        <w:t xml:space="preserve">. 2015, 6, 7615. </w:t>
      </w:r>
    </w:p>
    <w:p w14:paraId="336347D3" w14:textId="20908659" w:rsidR="00CA4CC2" w:rsidRPr="00A55275" w:rsidRDefault="00CA4CC2" w:rsidP="000C53BC">
      <w:pPr>
        <w:spacing w:line="480" w:lineRule="auto"/>
        <w:ind w:firstLine="0"/>
        <w:rPr>
          <w:color w:val="000000" w:themeColor="text1"/>
        </w:rPr>
      </w:pPr>
      <w:r w:rsidRPr="00A55275">
        <w:rPr>
          <w:color w:val="000000" w:themeColor="text1"/>
        </w:rPr>
        <w:t xml:space="preserve">Hartmann, D.L., Klein Tank, A.M.G., </w:t>
      </w:r>
      <w:proofErr w:type="spellStart"/>
      <w:r w:rsidRPr="00A55275">
        <w:rPr>
          <w:color w:val="000000" w:themeColor="text1"/>
        </w:rPr>
        <w:t>Rusticucci</w:t>
      </w:r>
      <w:proofErr w:type="spellEnd"/>
      <w:r w:rsidRPr="00A55275">
        <w:rPr>
          <w:color w:val="000000" w:themeColor="text1"/>
        </w:rPr>
        <w:t xml:space="preserve">, M., Alexander, L.V., </w:t>
      </w:r>
      <w:proofErr w:type="spellStart"/>
      <w:r w:rsidRPr="00A55275">
        <w:rPr>
          <w:color w:val="000000" w:themeColor="text1"/>
        </w:rPr>
        <w:t>Brönnimann</w:t>
      </w:r>
      <w:proofErr w:type="spellEnd"/>
      <w:r w:rsidRPr="00A55275">
        <w:rPr>
          <w:color w:val="000000" w:themeColor="text1"/>
        </w:rPr>
        <w:t xml:space="preserve">, S., </w:t>
      </w:r>
      <w:r w:rsidRPr="00A55275">
        <w:rPr>
          <w:color w:val="000000" w:themeColor="text1"/>
        </w:rPr>
        <w:tab/>
      </w:r>
      <w:proofErr w:type="spellStart"/>
      <w:r w:rsidRPr="00A55275">
        <w:rPr>
          <w:color w:val="000000" w:themeColor="text1"/>
        </w:rPr>
        <w:t>Charabi</w:t>
      </w:r>
      <w:proofErr w:type="spellEnd"/>
      <w:r w:rsidRPr="00A55275">
        <w:rPr>
          <w:color w:val="000000" w:themeColor="text1"/>
        </w:rPr>
        <w:t xml:space="preserve">, Y., </w:t>
      </w:r>
      <w:proofErr w:type="spellStart"/>
      <w:r w:rsidRPr="00A55275">
        <w:rPr>
          <w:color w:val="000000" w:themeColor="text1"/>
        </w:rPr>
        <w:t>Dentener</w:t>
      </w:r>
      <w:proofErr w:type="spellEnd"/>
      <w:r w:rsidRPr="00A55275">
        <w:rPr>
          <w:color w:val="000000" w:themeColor="text1"/>
        </w:rPr>
        <w:t xml:space="preserve">, F.J., </w:t>
      </w:r>
      <w:proofErr w:type="spellStart"/>
      <w:r w:rsidRPr="00A55275">
        <w:rPr>
          <w:color w:val="000000" w:themeColor="text1"/>
        </w:rPr>
        <w:t>Dlugokencky</w:t>
      </w:r>
      <w:proofErr w:type="spellEnd"/>
      <w:r w:rsidRPr="00A55275">
        <w:rPr>
          <w:color w:val="000000" w:themeColor="text1"/>
        </w:rPr>
        <w:t xml:space="preserve">, E.J., Easterling, D.R., Kaplan, A., </w:t>
      </w:r>
      <w:proofErr w:type="spellStart"/>
      <w:r w:rsidRPr="00A55275">
        <w:rPr>
          <w:color w:val="000000" w:themeColor="text1"/>
        </w:rPr>
        <w:t>Soden</w:t>
      </w:r>
      <w:proofErr w:type="spellEnd"/>
      <w:r w:rsidRPr="00A55275">
        <w:rPr>
          <w:color w:val="000000" w:themeColor="text1"/>
        </w:rPr>
        <w:t xml:space="preserve">, B.J., </w:t>
      </w:r>
      <w:r w:rsidRPr="00A55275">
        <w:rPr>
          <w:color w:val="000000" w:themeColor="text1"/>
        </w:rPr>
        <w:tab/>
        <w:t xml:space="preserve">Thorne, P.W., Wild M. and </w:t>
      </w:r>
      <w:proofErr w:type="spellStart"/>
      <w:r w:rsidRPr="00A55275">
        <w:rPr>
          <w:color w:val="000000" w:themeColor="text1"/>
        </w:rPr>
        <w:t>Zhai</w:t>
      </w:r>
      <w:proofErr w:type="spellEnd"/>
      <w:r w:rsidRPr="00A55275">
        <w:rPr>
          <w:color w:val="000000" w:themeColor="text1"/>
        </w:rPr>
        <w:t xml:space="preserve">, P.M. (2013): Observations: Atmosphere and surface; in </w:t>
      </w:r>
      <w:r w:rsidRPr="00A55275">
        <w:rPr>
          <w:color w:val="000000" w:themeColor="text1"/>
        </w:rPr>
        <w:tab/>
        <w:t xml:space="preserve">Climate Change 2013: The Physical Science Basis; Contribution of Working Group I to </w:t>
      </w:r>
      <w:r w:rsidRPr="00A55275">
        <w:rPr>
          <w:color w:val="000000" w:themeColor="text1"/>
        </w:rPr>
        <w:tab/>
        <w:t xml:space="preserve">the Fifth Assessment Report of the </w:t>
      </w:r>
      <w:proofErr w:type="spellStart"/>
      <w:r w:rsidRPr="00A55275">
        <w:rPr>
          <w:color w:val="000000" w:themeColor="text1"/>
        </w:rPr>
        <w:t>Intergovernental</w:t>
      </w:r>
      <w:proofErr w:type="spellEnd"/>
      <w:r w:rsidRPr="00A55275">
        <w:rPr>
          <w:color w:val="000000" w:themeColor="text1"/>
        </w:rPr>
        <w:t xml:space="preserve"> Panel on Climate Change, (ed.) T.F. </w:t>
      </w:r>
      <w:r w:rsidRPr="00A55275">
        <w:rPr>
          <w:color w:val="000000" w:themeColor="text1"/>
        </w:rPr>
        <w:tab/>
        <w:t xml:space="preserve">Stocker, D. Qin, G.-K. Plattner, M. </w:t>
      </w:r>
      <w:proofErr w:type="spellStart"/>
      <w:r w:rsidRPr="00A55275">
        <w:rPr>
          <w:color w:val="000000" w:themeColor="text1"/>
        </w:rPr>
        <w:t>Tignor</w:t>
      </w:r>
      <w:proofErr w:type="spellEnd"/>
      <w:r w:rsidRPr="00A55275">
        <w:rPr>
          <w:color w:val="000000" w:themeColor="text1"/>
        </w:rPr>
        <w:t xml:space="preserve">, S.K. Allen, J. </w:t>
      </w:r>
      <w:proofErr w:type="spellStart"/>
      <w:r w:rsidRPr="00A55275">
        <w:rPr>
          <w:color w:val="000000" w:themeColor="text1"/>
        </w:rPr>
        <w:t>Boschung</w:t>
      </w:r>
      <w:proofErr w:type="spellEnd"/>
      <w:r w:rsidRPr="00A55275">
        <w:rPr>
          <w:color w:val="000000" w:themeColor="text1"/>
        </w:rPr>
        <w:t xml:space="preserve">, A. </w:t>
      </w:r>
      <w:proofErr w:type="spellStart"/>
      <w:r w:rsidRPr="00A55275">
        <w:rPr>
          <w:color w:val="000000" w:themeColor="text1"/>
        </w:rPr>
        <w:t>Nauels</w:t>
      </w:r>
      <w:proofErr w:type="spellEnd"/>
      <w:r w:rsidRPr="00A55275">
        <w:rPr>
          <w:color w:val="000000" w:themeColor="text1"/>
        </w:rPr>
        <w:t xml:space="preserve">, Y. Xia, </w:t>
      </w:r>
      <w:r w:rsidRPr="00A55275">
        <w:rPr>
          <w:color w:val="000000" w:themeColor="text1"/>
        </w:rPr>
        <w:tab/>
        <w:t xml:space="preserve">V. Bex and P.M. Midgley; Cambridge University Press, Cambridge, United Kingdom </w:t>
      </w:r>
      <w:r w:rsidRPr="00A55275">
        <w:rPr>
          <w:color w:val="000000" w:themeColor="text1"/>
        </w:rPr>
        <w:tab/>
        <w:t xml:space="preserve">and New York, NY, USA, p. 159–254. </w:t>
      </w:r>
    </w:p>
    <w:p w14:paraId="02C72633" w14:textId="77777777" w:rsidR="00CA4CC2" w:rsidRPr="00A55275" w:rsidRDefault="00CA4CC2" w:rsidP="000C53BC">
      <w:pPr>
        <w:spacing w:line="480" w:lineRule="auto"/>
        <w:ind w:firstLine="0"/>
        <w:rPr>
          <w:color w:val="000000" w:themeColor="text1"/>
        </w:rPr>
      </w:pPr>
      <w:r w:rsidRPr="00A55275">
        <w:rPr>
          <w:color w:val="000000" w:themeColor="text1"/>
        </w:rPr>
        <w:lastRenderedPageBreak/>
        <w:t xml:space="preserve">Hill, C., Furlong, K., Bakker, K. &amp; Cohen, A. (2008). Harmonization Versus Subsidiarity in </w:t>
      </w:r>
      <w:r w:rsidRPr="00A55275">
        <w:rPr>
          <w:color w:val="000000" w:themeColor="text1"/>
        </w:rPr>
        <w:tab/>
        <w:t xml:space="preserve">Water Governance: A Review of Water Governance and Legislation in the Canadian </w:t>
      </w:r>
      <w:r w:rsidRPr="00A55275">
        <w:rPr>
          <w:color w:val="000000" w:themeColor="text1"/>
        </w:rPr>
        <w:tab/>
        <w:t xml:space="preserve">Provinces and Territories, Canadian Water Resources Journal, 33:4, 315-332, DOI: </w:t>
      </w:r>
      <w:r w:rsidRPr="00A55275">
        <w:rPr>
          <w:color w:val="000000" w:themeColor="text1"/>
        </w:rPr>
        <w:tab/>
        <w:t>10.4296/cwrj3304315</w:t>
      </w:r>
    </w:p>
    <w:p w14:paraId="2D111D03" w14:textId="77777777" w:rsidR="00CA4CC2" w:rsidRPr="00817BC7" w:rsidRDefault="00CA4CC2" w:rsidP="000C53BC">
      <w:pPr>
        <w:spacing w:before="100" w:beforeAutospacing="1" w:after="100" w:afterAutospacing="1" w:line="480" w:lineRule="auto"/>
        <w:ind w:left="480" w:hanging="480"/>
      </w:pPr>
      <w:r w:rsidRPr="00817BC7">
        <w:t xml:space="preserve">Hobson, K. A., </w:t>
      </w:r>
      <w:proofErr w:type="spellStart"/>
      <w:r w:rsidRPr="00817BC7">
        <w:t>Kuwae</w:t>
      </w:r>
      <w:proofErr w:type="spellEnd"/>
      <w:r w:rsidRPr="00817BC7">
        <w:t xml:space="preserve">, T., </w:t>
      </w:r>
      <w:proofErr w:type="spellStart"/>
      <w:r w:rsidRPr="00817BC7">
        <w:t>Drever</w:t>
      </w:r>
      <w:proofErr w:type="spellEnd"/>
      <w:r w:rsidRPr="00817BC7">
        <w:t xml:space="preserve">, M. C., Easton, W. E., &amp; </w:t>
      </w:r>
      <w:proofErr w:type="spellStart"/>
      <w:r w:rsidRPr="00817BC7">
        <w:t>Elner</w:t>
      </w:r>
      <w:proofErr w:type="spellEnd"/>
      <w:r w:rsidRPr="00817BC7">
        <w:t xml:space="preserve">, R. W. (2022). Biofilm and invertebrate consumption by western sandpipers (Calidris mauri) and dunlin (Calidris </w:t>
      </w:r>
      <w:proofErr w:type="spellStart"/>
      <w:r w:rsidRPr="00817BC7">
        <w:t>alpina</w:t>
      </w:r>
      <w:proofErr w:type="spellEnd"/>
      <w:r w:rsidRPr="00817BC7">
        <w:t xml:space="preserve">) during spring migratory stopover: insights from tissue and breath CO2 isotopic (δ13C, δ15N) analyses. </w:t>
      </w:r>
      <w:r w:rsidRPr="00817BC7">
        <w:rPr>
          <w:i/>
          <w:iCs/>
        </w:rPr>
        <w:t>Conservation Physiology</w:t>
      </w:r>
      <w:r w:rsidRPr="00817BC7">
        <w:t xml:space="preserve">, </w:t>
      </w:r>
      <w:r w:rsidRPr="00817BC7">
        <w:rPr>
          <w:i/>
          <w:iCs/>
        </w:rPr>
        <w:t>10</w:t>
      </w:r>
      <w:r w:rsidRPr="00817BC7">
        <w:t>(1). https://doi.org/10.1093/CONPHYS/COAC006</w:t>
      </w:r>
    </w:p>
    <w:p w14:paraId="0492D58F" w14:textId="77777777" w:rsidR="00CA4CC2" w:rsidRPr="00A55275" w:rsidRDefault="00CA4CC2" w:rsidP="000C53BC">
      <w:pPr>
        <w:pStyle w:val="NormalWeb"/>
        <w:spacing w:line="480" w:lineRule="auto"/>
        <w:ind w:left="480" w:hanging="480"/>
        <w:rPr>
          <w:color w:val="000000" w:themeColor="text1"/>
          <w:szCs w:val="22"/>
        </w:rPr>
      </w:pPr>
      <w:proofErr w:type="spellStart"/>
      <w:r w:rsidRPr="00A55275">
        <w:rPr>
          <w:color w:val="000000" w:themeColor="text1"/>
          <w:szCs w:val="22"/>
        </w:rPr>
        <w:t>Holling</w:t>
      </w:r>
      <w:proofErr w:type="spellEnd"/>
      <w:r w:rsidRPr="00A55275">
        <w:rPr>
          <w:color w:val="000000" w:themeColor="text1"/>
          <w:szCs w:val="22"/>
        </w:rPr>
        <w:t>, C.S. (1996). Engineering resilience versus ecological resilience. In Engineering within Ecological Constraints; Schulze, P., Ed.; National Academy of Engineering: Washington, DC, USA. pp. 31–44.</w:t>
      </w:r>
    </w:p>
    <w:p w14:paraId="101794C9" w14:textId="77777777" w:rsidR="00CA4CC2" w:rsidRPr="00A55275" w:rsidRDefault="00CA4CC2" w:rsidP="000C53BC">
      <w:pPr>
        <w:pStyle w:val="NormalWeb"/>
        <w:spacing w:line="480" w:lineRule="auto"/>
        <w:ind w:left="480" w:hanging="480"/>
        <w:rPr>
          <w:szCs w:val="22"/>
        </w:rPr>
      </w:pPr>
      <w:r w:rsidRPr="00A55275">
        <w:rPr>
          <w:rFonts w:ascii="Calibri" w:hAnsi="Calibri" w:cs="Calibri"/>
          <w:color w:val="000000" w:themeColor="text1"/>
          <w:szCs w:val="22"/>
        </w:rPr>
        <w:t>﻿﻿</w:t>
      </w:r>
      <w:r w:rsidRPr="00A55275">
        <w:rPr>
          <w:szCs w:val="22"/>
        </w:rPr>
        <w:t xml:space="preserve"> Hope, D. D., </w:t>
      </w:r>
      <w:proofErr w:type="spellStart"/>
      <w:r w:rsidRPr="00A55275">
        <w:rPr>
          <w:szCs w:val="22"/>
        </w:rPr>
        <w:t>Drever</w:t>
      </w:r>
      <w:proofErr w:type="spellEnd"/>
      <w:r w:rsidRPr="00A55275">
        <w:rPr>
          <w:szCs w:val="22"/>
        </w:rPr>
        <w:t xml:space="preserve">, M. C., Buchanan, J. B., Bishop, M. A., Matz, G., &amp; Lemon, M. J. F. (2018). Trends in timing of spring migration along the Pacific Flyway by Western Sandpipers and Dunlins. </w:t>
      </w:r>
      <w:r w:rsidRPr="00A55275">
        <w:rPr>
          <w:i/>
          <w:iCs/>
          <w:szCs w:val="22"/>
        </w:rPr>
        <w:t>The Condor</w:t>
      </w:r>
      <w:r w:rsidRPr="00A55275">
        <w:rPr>
          <w:szCs w:val="22"/>
        </w:rPr>
        <w:t xml:space="preserve">, </w:t>
      </w:r>
      <w:r w:rsidRPr="00A55275">
        <w:rPr>
          <w:i/>
          <w:iCs/>
          <w:szCs w:val="22"/>
        </w:rPr>
        <w:t>120</w:t>
      </w:r>
      <w:r w:rsidRPr="00A55275">
        <w:rPr>
          <w:szCs w:val="22"/>
        </w:rPr>
        <w:t>(3), 471–488. https://doi.org/10.1650/CONDOR-17-126.1</w:t>
      </w:r>
    </w:p>
    <w:p w14:paraId="73B3A195"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Jardine, C. B., Bond, A. L., Davidson, P. J. A., Butler, R. W., &amp; </w:t>
      </w:r>
      <w:proofErr w:type="spellStart"/>
      <w:r w:rsidRPr="00A55275">
        <w:rPr>
          <w:color w:val="000000" w:themeColor="text1"/>
          <w:szCs w:val="22"/>
        </w:rPr>
        <w:t>Kuwae</w:t>
      </w:r>
      <w:proofErr w:type="spellEnd"/>
      <w:r w:rsidRPr="00A55275">
        <w:rPr>
          <w:color w:val="000000" w:themeColor="text1"/>
          <w:szCs w:val="22"/>
        </w:rPr>
        <w:t xml:space="preserve">, T. (2015). Biofilm consumption and variable diet composition of Western Sandpipers (Calidris mauri) during migratory stopover. </w:t>
      </w:r>
      <w:proofErr w:type="spellStart"/>
      <w:r w:rsidRPr="00A55275">
        <w:rPr>
          <w:i/>
          <w:iCs/>
          <w:color w:val="000000" w:themeColor="text1"/>
          <w:szCs w:val="22"/>
        </w:rPr>
        <w:t>PLoS</w:t>
      </w:r>
      <w:proofErr w:type="spellEnd"/>
      <w:r w:rsidRPr="00A55275">
        <w:rPr>
          <w:i/>
          <w:iCs/>
          <w:color w:val="000000" w:themeColor="text1"/>
          <w:szCs w:val="22"/>
        </w:rPr>
        <w:t xml:space="preserve"> ONE</w:t>
      </w:r>
      <w:r w:rsidRPr="00A55275">
        <w:rPr>
          <w:color w:val="000000" w:themeColor="text1"/>
          <w:szCs w:val="22"/>
        </w:rPr>
        <w:t xml:space="preserve">, </w:t>
      </w:r>
      <w:r w:rsidRPr="00A55275">
        <w:rPr>
          <w:i/>
          <w:iCs/>
          <w:color w:val="000000" w:themeColor="text1"/>
          <w:szCs w:val="22"/>
        </w:rPr>
        <w:t>10</w:t>
      </w:r>
      <w:r w:rsidRPr="00A55275">
        <w:rPr>
          <w:color w:val="000000" w:themeColor="text1"/>
          <w:szCs w:val="22"/>
        </w:rPr>
        <w:t>(4). https://doi.org/10.1371/JOURNAL.PONE.0124164</w:t>
      </w:r>
    </w:p>
    <w:p w14:paraId="4D4AC4AB"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Jiménez, A., </w:t>
      </w:r>
      <w:proofErr w:type="spellStart"/>
      <w:r w:rsidRPr="00A55275">
        <w:rPr>
          <w:color w:val="000000" w:themeColor="text1"/>
          <w:szCs w:val="22"/>
        </w:rPr>
        <w:t>Elner</w:t>
      </w:r>
      <w:proofErr w:type="spellEnd"/>
      <w:r w:rsidRPr="00A55275">
        <w:rPr>
          <w:color w:val="000000" w:themeColor="text1"/>
          <w:szCs w:val="22"/>
        </w:rPr>
        <w:t xml:space="preserve">, R. W., </w:t>
      </w:r>
      <w:proofErr w:type="spellStart"/>
      <w:r w:rsidRPr="00A55275">
        <w:rPr>
          <w:color w:val="000000" w:themeColor="text1"/>
          <w:szCs w:val="22"/>
        </w:rPr>
        <w:t>Favaro</w:t>
      </w:r>
      <w:proofErr w:type="spellEnd"/>
      <w:r w:rsidRPr="00A55275">
        <w:rPr>
          <w:color w:val="000000" w:themeColor="text1"/>
          <w:szCs w:val="22"/>
        </w:rPr>
        <w:t xml:space="preserve">, C., Rickards, K., &amp; </w:t>
      </w:r>
      <w:proofErr w:type="spellStart"/>
      <w:r w:rsidRPr="00A55275">
        <w:rPr>
          <w:color w:val="000000" w:themeColor="text1"/>
          <w:szCs w:val="22"/>
        </w:rPr>
        <w:t>Ydenberg</w:t>
      </w:r>
      <w:proofErr w:type="spellEnd"/>
      <w:r w:rsidRPr="00A55275">
        <w:rPr>
          <w:color w:val="000000" w:themeColor="text1"/>
          <w:szCs w:val="22"/>
        </w:rPr>
        <w:t xml:space="preserve">, R. C. (2015). Intertidal biofilm distribution underpins differential tide-following behavior of two sandpiper species (Calidris mauri and Calidris </w:t>
      </w:r>
      <w:proofErr w:type="spellStart"/>
      <w:r w:rsidRPr="00A55275">
        <w:rPr>
          <w:color w:val="000000" w:themeColor="text1"/>
          <w:szCs w:val="22"/>
        </w:rPr>
        <w:t>alpina</w:t>
      </w:r>
      <w:proofErr w:type="spellEnd"/>
      <w:r w:rsidRPr="00A55275">
        <w:rPr>
          <w:color w:val="000000" w:themeColor="text1"/>
          <w:szCs w:val="22"/>
        </w:rPr>
        <w:t xml:space="preserve">) during northward migration. </w:t>
      </w:r>
      <w:r w:rsidRPr="00A55275">
        <w:rPr>
          <w:i/>
          <w:iCs/>
          <w:color w:val="000000" w:themeColor="text1"/>
          <w:szCs w:val="22"/>
        </w:rPr>
        <w:t>Estuarine, Coastal and Shelf Science</w:t>
      </w:r>
      <w:r w:rsidRPr="00A55275">
        <w:rPr>
          <w:color w:val="000000" w:themeColor="text1"/>
          <w:szCs w:val="22"/>
        </w:rPr>
        <w:t xml:space="preserve">, </w:t>
      </w:r>
      <w:r w:rsidRPr="00A55275">
        <w:rPr>
          <w:i/>
          <w:iCs/>
          <w:color w:val="000000" w:themeColor="text1"/>
          <w:szCs w:val="22"/>
        </w:rPr>
        <w:t>155</w:t>
      </w:r>
      <w:r w:rsidRPr="00A55275">
        <w:rPr>
          <w:color w:val="000000" w:themeColor="text1"/>
          <w:szCs w:val="22"/>
        </w:rPr>
        <w:t>, 8–16. https://doi.org/10.1016/J.ECSS.2014.12.038</w:t>
      </w:r>
    </w:p>
    <w:p w14:paraId="4867B18E" w14:textId="77777777" w:rsidR="00CA4CC2" w:rsidRPr="00A55275" w:rsidRDefault="00CA4CC2" w:rsidP="000C53BC">
      <w:pPr>
        <w:pStyle w:val="NormalWeb"/>
        <w:spacing w:line="480" w:lineRule="auto"/>
        <w:ind w:left="480" w:hanging="480"/>
        <w:rPr>
          <w:rStyle w:val="author"/>
          <w:szCs w:val="22"/>
        </w:rPr>
      </w:pPr>
      <w:r w:rsidRPr="00A55275">
        <w:rPr>
          <w:szCs w:val="22"/>
          <w:lang w:val="fr-CA"/>
        </w:rPr>
        <w:lastRenderedPageBreak/>
        <w:t xml:space="preserve">Jones, D. M., &amp; </w:t>
      </w:r>
      <w:proofErr w:type="spellStart"/>
      <w:r w:rsidRPr="00A55275">
        <w:rPr>
          <w:szCs w:val="22"/>
          <w:lang w:val="fr-CA"/>
        </w:rPr>
        <w:t>Doberstein</w:t>
      </w:r>
      <w:proofErr w:type="spellEnd"/>
      <w:r w:rsidRPr="00A55275">
        <w:rPr>
          <w:szCs w:val="22"/>
          <w:lang w:val="fr-CA"/>
        </w:rPr>
        <w:t xml:space="preserve">, B. (2022). </w:t>
      </w:r>
      <w:r w:rsidRPr="00A55275">
        <w:rPr>
          <w:szCs w:val="22"/>
        </w:rPr>
        <w:t xml:space="preserve">Encouraging co-benefits in climate-affected hazard adaptation: Developing and testing a scorecard for project design and evaluation. </w:t>
      </w:r>
      <w:r w:rsidRPr="00A55275">
        <w:rPr>
          <w:i/>
          <w:iCs/>
          <w:szCs w:val="22"/>
        </w:rPr>
        <w:t>International Journal of Disaster Risk Reduction</w:t>
      </w:r>
      <w:r w:rsidRPr="00A55275">
        <w:rPr>
          <w:szCs w:val="22"/>
        </w:rPr>
        <w:t xml:space="preserve">, </w:t>
      </w:r>
      <w:r w:rsidRPr="00A55275">
        <w:rPr>
          <w:i/>
          <w:iCs/>
          <w:szCs w:val="22"/>
        </w:rPr>
        <w:t>74</w:t>
      </w:r>
      <w:r w:rsidRPr="00A55275">
        <w:rPr>
          <w:szCs w:val="22"/>
        </w:rPr>
        <w:t>, 102915. https://doi.org/10.1016/J.IJDRR.2022.102915</w:t>
      </w:r>
    </w:p>
    <w:p w14:paraId="4D1381D5" w14:textId="77777777" w:rsidR="00CA4CC2" w:rsidRPr="00A55275" w:rsidRDefault="00CA4CC2" w:rsidP="000C53BC">
      <w:pPr>
        <w:pStyle w:val="NormalWeb"/>
        <w:spacing w:line="480" w:lineRule="auto"/>
        <w:ind w:left="480" w:hanging="480"/>
        <w:rPr>
          <w:color w:val="000000" w:themeColor="text1"/>
          <w:szCs w:val="22"/>
        </w:rPr>
      </w:pPr>
      <w:r w:rsidRPr="00A55275">
        <w:rPr>
          <w:rStyle w:val="author"/>
          <w:color w:val="000000" w:themeColor="text1"/>
          <w:szCs w:val="22"/>
          <w:shd w:val="clear" w:color="auto" w:fill="FFFFFF"/>
        </w:rPr>
        <w:t>Kehoe, LJ</w:t>
      </w:r>
      <w:r w:rsidRPr="00A55275">
        <w:rPr>
          <w:color w:val="000000" w:themeColor="text1"/>
          <w:szCs w:val="22"/>
          <w:shd w:val="clear" w:color="auto" w:fill="FFFFFF"/>
        </w:rPr>
        <w:t>, </w:t>
      </w:r>
      <w:r w:rsidRPr="00A55275">
        <w:rPr>
          <w:rStyle w:val="author"/>
          <w:color w:val="000000" w:themeColor="text1"/>
          <w:szCs w:val="22"/>
          <w:shd w:val="clear" w:color="auto" w:fill="FFFFFF"/>
        </w:rPr>
        <w:t>Lund, J</w:t>
      </w:r>
      <w:r w:rsidRPr="00A55275">
        <w:rPr>
          <w:color w:val="000000" w:themeColor="text1"/>
          <w:szCs w:val="22"/>
          <w:shd w:val="clear" w:color="auto" w:fill="FFFFFF"/>
        </w:rPr>
        <w:t>, </w:t>
      </w:r>
      <w:proofErr w:type="spellStart"/>
      <w:r w:rsidRPr="00A55275">
        <w:rPr>
          <w:rStyle w:val="author"/>
          <w:color w:val="000000" w:themeColor="text1"/>
          <w:szCs w:val="22"/>
          <w:shd w:val="clear" w:color="auto" w:fill="FFFFFF"/>
        </w:rPr>
        <w:t>Chalifour</w:t>
      </w:r>
      <w:proofErr w:type="spellEnd"/>
      <w:r w:rsidRPr="00A55275">
        <w:rPr>
          <w:rStyle w:val="author"/>
          <w:color w:val="000000" w:themeColor="text1"/>
          <w:szCs w:val="22"/>
          <w:shd w:val="clear" w:color="auto" w:fill="FFFFFF"/>
        </w:rPr>
        <w:t>, L</w:t>
      </w:r>
      <w:r w:rsidRPr="00A55275">
        <w:rPr>
          <w:color w:val="000000" w:themeColor="text1"/>
          <w:szCs w:val="22"/>
          <w:shd w:val="clear" w:color="auto" w:fill="FFFFFF"/>
        </w:rPr>
        <w:t xml:space="preserve">, et al. (2021). </w:t>
      </w:r>
      <w:r w:rsidRPr="00A55275">
        <w:rPr>
          <w:rStyle w:val="articletitle"/>
          <w:color w:val="000000" w:themeColor="text1"/>
          <w:szCs w:val="22"/>
          <w:shd w:val="clear" w:color="auto" w:fill="FFFFFF"/>
        </w:rPr>
        <w:t>Conservation in heavily urbanized biodiverse regions requires urgent management action and attention to governance</w:t>
      </w:r>
      <w:r w:rsidRPr="00A55275">
        <w:rPr>
          <w:color w:val="000000" w:themeColor="text1"/>
          <w:szCs w:val="22"/>
          <w:shd w:val="clear" w:color="auto" w:fill="FFFFFF"/>
        </w:rPr>
        <w:t>. </w:t>
      </w:r>
      <w:r w:rsidRPr="00A55275">
        <w:rPr>
          <w:i/>
          <w:iCs/>
          <w:color w:val="000000" w:themeColor="text1"/>
          <w:szCs w:val="22"/>
          <w:shd w:val="clear" w:color="auto" w:fill="FFFFFF"/>
        </w:rPr>
        <w:t>Conservation Science and Practice</w:t>
      </w:r>
      <w:r w:rsidRPr="00A55275">
        <w:rPr>
          <w:color w:val="000000" w:themeColor="text1"/>
          <w:szCs w:val="22"/>
          <w:shd w:val="clear" w:color="auto" w:fill="FFFFFF"/>
        </w:rPr>
        <w:t>, </w:t>
      </w:r>
      <w:r w:rsidRPr="00A55275">
        <w:rPr>
          <w:rStyle w:val="vol"/>
          <w:color w:val="000000" w:themeColor="text1"/>
          <w:szCs w:val="22"/>
          <w:shd w:val="clear" w:color="auto" w:fill="FFFFFF"/>
        </w:rPr>
        <w:t>3</w:t>
      </w:r>
      <w:r w:rsidRPr="00A55275">
        <w:rPr>
          <w:color w:val="000000" w:themeColor="text1"/>
          <w:szCs w:val="22"/>
          <w:shd w:val="clear" w:color="auto" w:fill="FFFFFF"/>
        </w:rPr>
        <w:t>(2). </w:t>
      </w:r>
      <w:hyperlink r:id="rId14" w:history="1">
        <w:r w:rsidRPr="00A55275">
          <w:rPr>
            <w:rStyle w:val="Hyperlink"/>
            <w:color w:val="000000" w:themeColor="text1"/>
            <w:szCs w:val="22"/>
            <w:shd w:val="clear" w:color="auto" w:fill="FFFFFF"/>
          </w:rPr>
          <w:t>https://doi.org/10.1111/csp2.310</w:t>
        </w:r>
      </w:hyperlink>
    </w:p>
    <w:p w14:paraId="00689BC7" w14:textId="77777777" w:rsidR="00CA4CC2" w:rsidRPr="00A55275" w:rsidRDefault="00CA4CC2" w:rsidP="000C53BC">
      <w:pPr>
        <w:pStyle w:val="NormalWeb"/>
        <w:spacing w:line="480" w:lineRule="auto"/>
        <w:ind w:left="480" w:hanging="480"/>
        <w:rPr>
          <w:szCs w:val="22"/>
        </w:rPr>
      </w:pPr>
      <w:r w:rsidRPr="00DF6E95">
        <w:rPr>
          <w:szCs w:val="22"/>
        </w:rPr>
        <w:t xml:space="preserve">King, G., Keohane, R. O., &amp; </w:t>
      </w:r>
      <w:proofErr w:type="spellStart"/>
      <w:r w:rsidRPr="00DF6E95">
        <w:rPr>
          <w:szCs w:val="22"/>
        </w:rPr>
        <w:t>Verba</w:t>
      </w:r>
      <w:proofErr w:type="spellEnd"/>
      <w:r w:rsidRPr="00DF6E95">
        <w:rPr>
          <w:szCs w:val="22"/>
        </w:rPr>
        <w:t xml:space="preserve">, S. (1994). </w:t>
      </w:r>
      <w:r w:rsidRPr="00A55275">
        <w:rPr>
          <w:i/>
          <w:iCs/>
          <w:szCs w:val="22"/>
        </w:rPr>
        <w:t>Designing Social Inquiry: Scientific Inference in Qualitative Research</w:t>
      </w:r>
      <w:r w:rsidRPr="00A55275">
        <w:rPr>
          <w:szCs w:val="22"/>
        </w:rPr>
        <w:t>. Princeton University Press.</w:t>
      </w:r>
    </w:p>
    <w:p w14:paraId="482CDB23" w14:textId="77777777" w:rsidR="00CA4CC2" w:rsidRPr="00A55275" w:rsidRDefault="00CA4CC2" w:rsidP="000C53BC">
      <w:pPr>
        <w:pStyle w:val="NormalWeb"/>
        <w:spacing w:line="480" w:lineRule="auto"/>
        <w:ind w:left="480" w:hanging="480"/>
        <w:rPr>
          <w:szCs w:val="22"/>
        </w:rPr>
      </w:pPr>
      <w:proofErr w:type="spellStart"/>
      <w:r w:rsidRPr="00A55275">
        <w:rPr>
          <w:szCs w:val="22"/>
        </w:rPr>
        <w:t>Kirchherr</w:t>
      </w:r>
      <w:proofErr w:type="spellEnd"/>
      <w:r w:rsidRPr="00A55275">
        <w:rPr>
          <w:szCs w:val="22"/>
        </w:rPr>
        <w:t xml:space="preserve">, J., &amp; Charles, K. (2018). Enhancing the sample diversity of snowball samples: Recommendations from a research project on anti-dam movements in Southeast Asia. </w:t>
      </w:r>
      <w:proofErr w:type="spellStart"/>
      <w:r w:rsidRPr="00A55275">
        <w:rPr>
          <w:i/>
          <w:iCs/>
          <w:szCs w:val="22"/>
        </w:rPr>
        <w:t>PLoS</w:t>
      </w:r>
      <w:proofErr w:type="spellEnd"/>
      <w:r w:rsidRPr="00A55275">
        <w:rPr>
          <w:i/>
          <w:iCs/>
          <w:szCs w:val="22"/>
        </w:rPr>
        <w:t xml:space="preserve"> ONE</w:t>
      </w:r>
      <w:r w:rsidRPr="00A55275">
        <w:rPr>
          <w:szCs w:val="22"/>
        </w:rPr>
        <w:t xml:space="preserve">, </w:t>
      </w:r>
      <w:r w:rsidRPr="00A55275">
        <w:rPr>
          <w:i/>
          <w:iCs/>
          <w:szCs w:val="22"/>
        </w:rPr>
        <w:t>13</w:t>
      </w:r>
      <w:r w:rsidRPr="00A55275">
        <w:rPr>
          <w:szCs w:val="22"/>
        </w:rPr>
        <w:t>(8). https://doi.org/10.1371/JOURNAL.PONE.0201710</w:t>
      </w:r>
    </w:p>
    <w:p w14:paraId="4F7943A4" w14:textId="637EC0F2" w:rsidR="00CA4CC2" w:rsidRPr="00A55275" w:rsidRDefault="00CA4CC2" w:rsidP="000C53BC">
      <w:pPr>
        <w:pStyle w:val="NormalWeb"/>
        <w:spacing w:line="480" w:lineRule="auto"/>
        <w:ind w:left="480" w:hanging="480"/>
        <w:rPr>
          <w:color w:val="000000" w:themeColor="text1"/>
          <w:szCs w:val="22"/>
        </w:rPr>
      </w:pPr>
      <w:proofErr w:type="spellStart"/>
      <w:r w:rsidRPr="00A55275">
        <w:rPr>
          <w:color w:val="000000" w:themeColor="text1"/>
          <w:szCs w:val="22"/>
        </w:rPr>
        <w:t>Koleček</w:t>
      </w:r>
      <w:proofErr w:type="spellEnd"/>
      <w:r w:rsidRPr="00A55275">
        <w:rPr>
          <w:color w:val="000000" w:themeColor="text1"/>
          <w:szCs w:val="22"/>
        </w:rPr>
        <w:t xml:space="preserve">, J., </w:t>
      </w:r>
      <w:proofErr w:type="spellStart"/>
      <w:r w:rsidRPr="00A55275">
        <w:rPr>
          <w:color w:val="000000" w:themeColor="text1"/>
          <w:szCs w:val="22"/>
        </w:rPr>
        <w:t>Reif</w:t>
      </w:r>
      <w:proofErr w:type="spellEnd"/>
      <w:r w:rsidRPr="00A55275">
        <w:rPr>
          <w:color w:val="000000" w:themeColor="text1"/>
          <w:szCs w:val="22"/>
        </w:rPr>
        <w:t xml:space="preserve">, J., </w:t>
      </w:r>
      <w:proofErr w:type="spellStart"/>
      <w:r w:rsidRPr="00A55275">
        <w:rPr>
          <w:color w:val="000000" w:themeColor="text1"/>
          <w:szCs w:val="22"/>
        </w:rPr>
        <w:t>Šálek</w:t>
      </w:r>
      <w:proofErr w:type="spellEnd"/>
      <w:r w:rsidRPr="00A55275">
        <w:rPr>
          <w:color w:val="000000" w:themeColor="text1"/>
          <w:szCs w:val="22"/>
        </w:rPr>
        <w:t xml:space="preserve">, M., </w:t>
      </w:r>
      <w:proofErr w:type="spellStart"/>
      <w:r w:rsidRPr="00A55275">
        <w:rPr>
          <w:color w:val="000000" w:themeColor="text1"/>
          <w:szCs w:val="22"/>
        </w:rPr>
        <w:t>Hanzelka</w:t>
      </w:r>
      <w:proofErr w:type="spellEnd"/>
      <w:r w:rsidRPr="00A55275">
        <w:rPr>
          <w:color w:val="000000" w:themeColor="text1"/>
          <w:szCs w:val="22"/>
        </w:rPr>
        <w:t xml:space="preserve">, J., </w:t>
      </w:r>
      <w:proofErr w:type="spellStart"/>
      <w:r w:rsidRPr="00A55275">
        <w:rPr>
          <w:color w:val="000000" w:themeColor="text1"/>
          <w:szCs w:val="22"/>
        </w:rPr>
        <w:t>Sottas</w:t>
      </w:r>
      <w:proofErr w:type="spellEnd"/>
      <w:r w:rsidRPr="00A55275">
        <w:rPr>
          <w:color w:val="000000" w:themeColor="text1"/>
          <w:szCs w:val="22"/>
        </w:rPr>
        <w:t xml:space="preserve">, C., &amp; </w:t>
      </w:r>
      <w:proofErr w:type="spellStart"/>
      <w:r w:rsidRPr="00A55275">
        <w:rPr>
          <w:color w:val="000000" w:themeColor="text1"/>
          <w:szCs w:val="22"/>
        </w:rPr>
        <w:t>Kubelka</w:t>
      </w:r>
      <w:proofErr w:type="spellEnd"/>
      <w:r w:rsidRPr="00A55275">
        <w:rPr>
          <w:color w:val="000000" w:themeColor="text1"/>
          <w:szCs w:val="22"/>
        </w:rPr>
        <w:t xml:space="preserve">, V. (2021). Global population trends in shorebirds: migratory behaviour makes species at risk. </w:t>
      </w:r>
      <w:r w:rsidRPr="00A55275">
        <w:rPr>
          <w:i/>
          <w:iCs/>
          <w:color w:val="000000" w:themeColor="text1"/>
          <w:szCs w:val="22"/>
        </w:rPr>
        <w:t>Science of Nature</w:t>
      </w:r>
      <w:r w:rsidRPr="00A55275">
        <w:rPr>
          <w:color w:val="000000" w:themeColor="text1"/>
          <w:szCs w:val="22"/>
        </w:rPr>
        <w:t xml:space="preserve">, </w:t>
      </w:r>
      <w:r w:rsidRPr="00A55275">
        <w:rPr>
          <w:i/>
          <w:iCs/>
          <w:color w:val="000000" w:themeColor="text1"/>
          <w:szCs w:val="22"/>
        </w:rPr>
        <w:t>108</w:t>
      </w:r>
      <w:r w:rsidRPr="00A55275">
        <w:rPr>
          <w:color w:val="000000" w:themeColor="text1"/>
          <w:szCs w:val="22"/>
        </w:rPr>
        <w:t>(2), 1–8. https://doi.org/10.1007/S00114-021-01717-1/FIGURES/1</w:t>
      </w:r>
    </w:p>
    <w:p w14:paraId="7A24D400" w14:textId="77777777" w:rsidR="00CA4CC2" w:rsidRPr="00A55275" w:rsidRDefault="00CA4CC2" w:rsidP="000C53BC">
      <w:pPr>
        <w:spacing w:line="480" w:lineRule="auto"/>
        <w:ind w:firstLine="0"/>
        <w:rPr>
          <w:color w:val="000000" w:themeColor="text1"/>
        </w:rPr>
      </w:pPr>
      <w:proofErr w:type="spellStart"/>
      <w:proofErr w:type="gramStart"/>
      <w:r w:rsidRPr="00A55275">
        <w:rPr>
          <w:color w:val="000000" w:themeColor="text1"/>
        </w:rPr>
        <w:t>Kuwae,T</w:t>
      </w:r>
      <w:proofErr w:type="spellEnd"/>
      <w:r w:rsidRPr="00A55275">
        <w:rPr>
          <w:color w:val="000000" w:themeColor="text1"/>
        </w:rPr>
        <w:t>.</w:t>
      </w:r>
      <w:proofErr w:type="gramEnd"/>
      <w:r w:rsidRPr="00A55275">
        <w:rPr>
          <w:color w:val="000000" w:themeColor="text1"/>
        </w:rPr>
        <w:t xml:space="preserve">, Miyoshi, </w:t>
      </w:r>
      <w:proofErr w:type="spellStart"/>
      <w:r w:rsidRPr="00A55275">
        <w:rPr>
          <w:color w:val="000000" w:themeColor="text1"/>
        </w:rPr>
        <w:t>E.,Hosokawa</w:t>
      </w:r>
      <w:proofErr w:type="spellEnd"/>
      <w:r w:rsidRPr="00A55275">
        <w:rPr>
          <w:color w:val="000000" w:themeColor="text1"/>
        </w:rPr>
        <w:t xml:space="preserve">, S., </w:t>
      </w:r>
      <w:proofErr w:type="spellStart"/>
      <w:r w:rsidRPr="00A55275">
        <w:rPr>
          <w:color w:val="000000" w:themeColor="text1"/>
        </w:rPr>
        <w:t>Ichimi</w:t>
      </w:r>
      <w:proofErr w:type="spellEnd"/>
      <w:r w:rsidRPr="00A55275">
        <w:rPr>
          <w:color w:val="000000" w:themeColor="text1"/>
        </w:rPr>
        <w:t>, K.,</w:t>
      </w:r>
      <w:proofErr w:type="spellStart"/>
      <w:r w:rsidRPr="00A55275">
        <w:rPr>
          <w:color w:val="000000" w:themeColor="text1"/>
        </w:rPr>
        <w:t>Hosoya</w:t>
      </w:r>
      <w:proofErr w:type="spellEnd"/>
      <w:r w:rsidRPr="00A55275">
        <w:rPr>
          <w:color w:val="000000" w:themeColor="text1"/>
        </w:rPr>
        <w:t xml:space="preserve">, J., </w:t>
      </w:r>
      <w:proofErr w:type="spellStart"/>
      <w:r w:rsidRPr="00A55275">
        <w:rPr>
          <w:color w:val="000000" w:themeColor="text1"/>
        </w:rPr>
        <w:t>Amano,T</w:t>
      </w:r>
      <w:proofErr w:type="spellEnd"/>
      <w:r w:rsidRPr="00A55275">
        <w:rPr>
          <w:color w:val="000000" w:themeColor="text1"/>
        </w:rPr>
        <w:t xml:space="preserve">., Moriya, T., </w:t>
      </w:r>
      <w:proofErr w:type="spellStart"/>
      <w:r w:rsidRPr="00A55275">
        <w:rPr>
          <w:color w:val="000000" w:themeColor="text1"/>
        </w:rPr>
        <w:t>Kondoh</w:t>
      </w:r>
      <w:proofErr w:type="spellEnd"/>
      <w:r w:rsidRPr="00A55275">
        <w:rPr>
          <w:color w:val="000000" w:themeColor="text1"/>
        </w:rPr>
        <w:t xml:space="preserve">, M., </w:t>
      </w:r>
      <w:r w:rsidRPr="00A55275">
        <w:rPr>
          <w:color w:val="000000" w:themeColor="text1"/>
        </w:rPr>
        <w:tab/>
      </w:r>
      <w:proofErr w:type="spellStart"/>
      <w:r w:rsidRPr="00A55275">
        <w:rPr>
          <w:color w:val="000000" w:themeColor="text1"/>
        </w:rPr>
        <w:t>Ydenberg</w:t>
      </w:r>
      <w:proofErr w:type="spellEnd"/>
      <w:r w:rsidRPr="00A55275">
        <w:rPr>
          <w:color w:val="000000" w:themeColor="text1"/>
        </w:rPr>
        <w:t xml:space="preserve">, R. C., &amp; </w:t>
      </w:r>
      <w:proofErr w:type="spellStart"/>
      <w:r w:rsidRPr="00A55275">
        <w:rPr>
          <w:color w:val="000000" w:themeColor="text1"/>
        </w:rPr>
        <w:t>Elner</w:t>
      </w:r>
      <w:proofErr w:type="spellEnd"/>
      <w:r w:rsidRPr="00A55275">
        <w:rPr>
          <w:color w:val="000000" w:themeColor="text1"/>
        </w:rPr>
        <w:t xml:space="preserve">, R. W. (2012). Variable and com- plex food web structures </w:t>
      </w:r>
      <w:r w:rsidRPr="00A55275">
        <w:rPr>
          <w:color w:val="000000" w:themeColor="text1"/>
        </w:rPr>
        <w:tab/>
        <w:t xml:space="preserve">revealed by exploring missing trophic links between birds and biofilm. Ecology Letters, </w:t>
      </w:r>
      <w:r w:rsidRPr="00A55275">
        <w:rPr>
          <w:color w:val="000000" w:themeColor="text1"/>
        </w:rPr>
        <w:tab/>
        <w:t>15(4), 347–356.</w:t>
      </w:r>
    </w:p>
    <w:p w14:paraId="71E5F3A4" w14:textId="3E062810" w:rsidR="00CA4CC2" w:rsidRPr="00A55275" w:rsidRDefault="00CA4CC2" w:rsidP="000C53BC">
      <w:pPr>
        <w:spacing w:line="480" w:lineRule="auto"/>
        <w:ind w:firstLine="0"/>
      </w:pPr>
      <w:proofErr w:type="spellStart"/>
      <w:r w:rsidRPr="00A55275">
        <w:t>Kvale</w:t>
      </w:r>
      <w:proofErr w:type="spellEnd"/>
      <w:r w:rsidRPr="00A55275">
        <w:t xml:space="preserve">, S. and Brinkmann, S. (2015) Interviews: Learning the Craft of Qualitative Research </w:t>
      </w:r>
      <w:r w:rsidRPr="00A55275">
        <w:tab/>
        <w:t>Interviewing. 3rd Edition, Sage Publications, Thousand Oaks, CA.</w:t>
      </w:r>
    </w:p>
    <w:p w14:paraId="089093AF" w14:textId="0D3BC362"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lastRenderedPageBreak/>
        <w:t xml:space="preserve">Langer, O. E. (2019). </w:t>
      </w:r>
      <w:r w:rsidRPr="00A55275">
        <w:rPr>
          <w:i/>
          <w:iCs/>
          <w:color w:val="000000" w:themeColor="text1"/>
          <w:szCs w:val="22"/>
        </w:rPr>
        <w:t>History and Outcomes of the Fraser River Estuary Management Program (FREMP) and the Burrard Inlet Environmental Action Plan (BIEAP)</w:t>
      </w:r>
      <w:r w:rsidRPr="00A55275">
        <w:rPr>
          <w:color w:val="000000" w:themeColor="text1"/>
          <w:szCs w:val="22"/>
        </w:rPr>
        <w:t>.</w:t>
      </w:r>
    </w:p>
    <w:p w14:paraId="2D7E6775" w14:textId="77777777" w:rsidR="00CA4CC2" w:rsidRPr="00A55275" w:rsidRDefault="00CA4CC2" w:rsidP="000C53BC">
      <w:pPr>
        <w:spacing w:line="480" w:lineRule="auto"/>
        <w:ind w:firstLine="0"/>
        <w:rPr>
          <w:color w:val="000000" w:themeColor="text1"/>
        </w:rPr>
      </w:pPr>
      <w:r w:rsidRPr="00A55275">
        <w:rPr>
          <w:color w:val="000000" w:themeColor="text1"/>
        </w:rPr>
        <w:t xml:space="preserve">Lazarus, E.D. (2014). Threshold effects of hazard mitigation in coastal human-environmental </w:t>
      </w:r>
      <w:r w:rsidRPr="00A55275">
        <w:rPr>
          <w:color w:val="000000" w:themeColor="text1"/>
        </w:rPr>
        <w:tab/>
        <w:t xml:space="preserve">systems. Earth Surf. </w:t>
      </w:r>
      <w:proofErr w:type="spellStart"/>
      <w:r w:rsidRPr="00A55275">
        <w:rPr>
          <w:color w:val="000000" w:themeColor="text1"/>
        </w:rPr>
        <w:t>Dyn</w:t>
      </w:r>
      <w:proofErr w:type="spellEnd"/>
      <w:r w:rsidRPr="00A55275">
        <w:rPr>
          <w:color w:val="000000" w:themeColor="text1"/>
        </w:rPr>
        <w:t xml:space="preserve">. 2014, 2, 35–45. </w:t>
      </w:r>
    </w:p>
    <w:p w14:paraId="6553C6E6" w14:textId="77777777" w:rsidR="00CA4CC2" w:rsidRPr="00A55275" w:rsidRDefault="00CA4CC2" w:rsidP="000C53BC">
      <w:pPr>
        <w:pStyle w:val="NormalWeb"/>
        <w:spacing w:line="480" w:lineRule="auto"/>
        <w:ind w:left="480" w:hanging="480"/>
        <w:rPr>
          <w:color w:val="000000" w:themeColor="text1"/>
          <w:szCs w:val="22"/>
        </w:rPr>
      </w:pPr>
      <w:proofErr w:type="spellStart"/>
      <w:r w:rsidRPr="00A55275">
        <w:rPr>
          <w:rStyle w:val="author"/>
          <w:color w:val="000000" w:themeColor="text1"/>
          <w:szCs w:val="22"/>
          <w:shd w:val="clear" w:color="auto" w:fill="FFFFFF"/>
        </w:rPr>
        <w:t>Lepofsky</w:t>
      </w:r>
      <w:proofErr w:type="spellEnd"/>
      <w:r w:rsidRPr="00A55275">
        <w:rPr>
          <w:rStyle w:val="author"/>
          <w:color w:val="000000" w:themeColor="text1"/>
          <w:szCs w:val="22"/>
          <w:shd w:val="clear" w:color="auto" w:fill="FFFFFF"/>
        </w:rPr>
        <w:t>, D.</w:t>
      </w:r>
      <w:r w:rsidRPr="00A55275">
        <w:rPr>
          <w:color w:val="000000" w:themeColor="text1"/>
          <w:szCs w:val="22"/>
          <w:shd w:val="clear" w:color="auto" w:fill="FFFFFF"/>
        </w:rPr>
        <w:t>, </w:t>
      </w:r>
      <w:proofErr w:type="spellStart"/>
      <w:r w:rsidRPr="00A55275">
        <w:rPr>
          <w:rStyle w:val="author"/>
          <w:color w:val="000000" w:themeColor="text1"/>
          <w:szCs w:val="22"/>
          <w:shd w:val="clear" w:color="auto" w:fill="FFFFFF"/>
        </w:rPr>
        <w:t>Schaepe</w:t>
      </w:r>
      <w:proofErr w:type="spellEnd"/>
      <w:r w:rsidRPr="00A55275">
        <w:rPr>
          <w:rStyle w:val="author"/>
          <w:color w:val="000000" w:themeColor="text1"/>
          <w:szCs w:val="22"/>
          <w:shd w:val="clear" w:color="auto" w:fill="FFFFFF"/>
        </w:rPr>
        <w:t>, D. M.</w:t>
      </w:r>
      <w:r w:rsidRPr="00A55275">
        <w:rPr>
          <w:color w:val="000000" w:themeColor="text1"/>
          <w:szCs w:val="22"/>
          <w:shd w:val="clear" w:color="auto" w:fill="FFFFFF"/>
        </w:rPr>
        <w:t>, </w:t>
      </w:r>
      <w:proofErr w:type="spellStart"/>
      <w:r w:rsidRPr="00A55275">
        <w:rPr>
          <w:rStyle w:val="author"/>
          <w:color w:val="000000" w:themeColor="text1"/>
          <w:szCs w:val="22"/>
          <w:shd w:val="clear" w:color="auto" w:fill="FFFFFF"/>
        </w:rPr>
        <w:t>Graesch</w:t>
      </w:r>
      <w:proofErr w:type="spellEnd"/>
      <w:r w:rsidRPr="00A55275">
        <w:rPr>
          <w:rStyle w:val="author"/>
          <w:color w:val="000000" w:themeColor="text1"/>
          <w:szCs w:val="22"/>
          <w:shd w:val="clear" w:color="auto" w:fill="FFFFFF"/>
        </w:rPr>
        <w:t>, A. P.</w:t>
      </w:r>
      <w:r w:rsidRPr="00A55275">
        <w:rPr>
          <w:color w:val="000000" w:themeColor="text1"/>
          <w:szCs w:val="22"/>
          <w:shd w:val="clear" w:color="auto" w:fill="FFFFFF"/>
        </w:rPr>
        <w:t>, </w:t>
      </w:r>
      <w:proofErr w:type="spellStart"/>
      <w:r w:rsidRPr="00A55275">
        <w:rPr>
          <w:rStyle w:val="author"/>
          <w:color w:val="000000" w:themeColor="text1"/>
          <w:szCs w:val="22"/>
          <w:shd w:val="clear" w:color="auto" w:fill="FFFFFF"/>
        </w:rPr>
        <w:t>Lenert</w:t>
      </w:r>
      <w:proofErr w:type="spellEnd"/>
      <w:r w:rsidRPr="00A55275">
        <w:rPr>
          <w:rStyle w:val="author"/>
          <w:color w:val="000000" w:themeColor="text1"/>
          <w:szCs w:val="22"/>
          <w:shd w:val="clear" w:color="auto" w:fill="FFFFFF"/>
        </w:rPr>
        <w:t>, M.</w:t>
      </w:r>
      <w:r w:rsidRPr="00A55275">
        <w:rPr>
          <w:color w:val="000000" w:themeColor="text1"/>
          <w:szCs w:val="22"/>
          <w:shd w:val="clear" w:color="auto" w:fill="FFFFFF"/>
        </w:rPr>
        <w:t>, </w:t>
      </w:r>
      <w:r w:rsidRPr="00A55275">
        <w:rPr>
          <w:rStyle w:val="author"/>
          <w:color w:val="000000" w:themeColor="text1"/>
          <w:szCs w:val="22"/>
          <w:shd w:val="clear" w:color="auto" w:fill="FFFFFF"/>
        </w:rPr>
        <w:t>Ormerod, P.</w:t>
      </w:r>
      <w:r w:rsidRPr="00A55275">
        <w:rPr>
          <w:color w:val="000000" w:themeColor="text1"/>
          <w:szCs w:val="22"/>
          <w:shd w:val="clear" w:color="auto" w:fill="FFFFFF"/>
        </w:rPr>
        <w:t>, </w:t>
      </w:r>
      <w:r w:rsidRPr="00A55275">
        <w:rPr>
          <w:rStyle w:val="author"/>
          <w:color w:val="000000" w:themeColor="text1"/>
          <w:szCs w:val="22"/>
          <w:shd w:val="clear" w:color="auto" w:fill="FFFFFF"/>
        </w:rPr>
        <w:t>Carlson, K. T.</w:t>
      </w:r>
      <w:r w:rsidRPr="00A55275">
        <w:rPr>
          <w:color w:val="000000" w:themeColor="text1"/>
          <w:szCs w:val="22"/>
          <w:shd w:val="clear" w:color="auto" w:fill="FFFFFF"/>
        </w:rPr>
        <w:t>, … </w:t>
      </w:r>
      <w:r w:rsidRPr="00A55275">
        <w:rPr>
          <w:rStyle w:val="author"/>
          <w:color w:val="000000" w:themeColor="text1"/>
          <w:szCs w:val="22"/>
          <w:shd w:val="clear" w:color="auto" w:fill="FFFFFF"/>
        </w:rPr>
        <w:t>Clague, J. J.</w:t>
      </w:r>
      <w:r w:rsidRPr="00A55275">
        <w:rPr>
          <w:color w:val="000000" w:themeColor="text1"/>
          <w:szCs w:val="22"/>
          <w:shd w:val="clear" w:color="auto" w:fill="FFFFFF"/>
        </w:rPr>
        <w:t> (</w:t>
      </w:r>
      <w:r w:rsidRPr="00A55275">
        <w:rPr>
          <w:rStyle w:val="pubyear"/>
          <w:color w:val="000000" w:themeColor="text1"/>
          <w:szCs w:val="22"/>
          <w:shd w:val="clear" w:color="auto" w:fill="FFFFFF"/>
        </w:rPr>
        <w:t>2009</w:t>
      </w:r>
      <w:r w:rsidRPr="00A55275">
        <w:rPr>
          <w:color w:val="000000" w:themeColor="text1"/>
          <w:szCs w:val="22"/>
          <w:shd w:val="clear" w:color="auto" w:fill="FFFFFF"/>
        </w:rPr>
        <w:t>). </w:t>
      </w:r>
      <w:r w:rsidRPr="00A55275">
        <w:rPr>
          <w:rStyle w:val="articletitle"/>
          <w:color w:val="000000" w:themeColor="text1"/>
          <w:szCs w:val="22"/>
          <w:shd w:val="clear" w:color="auto" w:fill="FFFFFF"/>
        </w:rPr>
        <w:t xml:space="preserve">Exploring </w:t>
      </w:r>
      <w:proofErr w:type="spellStart"/>
      <w:r w:rsidRPr="00A55275">
        <w:rPr>
          <w:rStyle w:val="articletitle"/>
          <w:color w:val="000000" w:themeColor="text1"/>
          <w:szCs w:val="22"/>
          <w:shd w:val="clear" w:color="auto" w:fill="FFFFFF"/>
        </w:rPr>
        <w:t>Stó</w:t>
      </w:r>
      <w:proofErr w:type="spellEnd"/>
      <w:r w:rsidRPr="00A55275">
        <w:rPr>
          <w:rStyle w:val="articletitle"/>
          <w:color w:val="000000" w:themeColor="text1"/>
          <w:szCs w:val="22"/>
          <w:shd w:val="clear" w:color="auto" w:fill="FFFFFF"/>
        </w:rPr>
        <w:t xml:space="preserve">: </w:t>
      </w:r>
      <w:proofErr w:type="spellStart"/>
      <w:r w:rsidRPr="00A55275">
        <w:rPr>
          <w:rStyle w:val="articletitle"/>
          <w:color w:val="000000" w:themeColor="text1"/>
          <w:szCs w:val="22"/>
          <w:shd w:val="clear" w:color="auto" w:fill="FFFFFF"/>
        </w:rPr>
        <w:t>lō</w:t>
      </w:r>
      <w:proofErr w:type="spellEnd"/>
      <w:r w:rsidRPr="00A55275">
        <w:rPr>
          <w:rStyle w:val="articletitle"/>
          <w:color w:val="000000" w:themeColor="text1"/>
          <w:szCs w:val="22"/>
          <w:shd w:val="clear" w:color="auto" w:fill="FFFFFF"/>
        </w:rPr>
        <w:t>-coast Salish interaction and identity in ancient houses and settlements in the Fraser Valley, British Columbia</w:t>
      </w:r>
      <w:r w:rsidRPr="00A55275">
        <w:rPr>
          <w:color w:val="000000" w:themeColor="text1"/>
          <w:szCs w:val="22"/>
          <w:shd w:val="clear" w:color="auto" w:fill="FFFFFF"/>
        </w:rPr>
        <w:t>. </w:t>
      </w:r>
      <w:r w:rsidRPr="00A55275">
        <w:rPr>
          <w:i/>
          <w:iCs/>
          <w:color w:val="000000" w:themeColor="text1"/>
          <w:szCs w:val="22"/>
          <w:shd w:val="clear" w:color="auto" w:fill="FFFFFF"/>
        </w:rPr>
        <w:t>American Antiquity</w:t>
      </w:r>
      <w:r w:rsidRPr="00A55275">
        <w:rPr>
          <w:color w:val="000000" w:themeColor="text1"/>
          <w:szCs w:val="22"/>
          <w:shd w:val="clear" w:color="auto" w:fill="FFFFFF"/>
        </w:rPr>
        <w:t>, </w:t>
      </w:r>
      <w:r w:rsidRPr="00A55275">
        <w:rPr>
          <w:rStyle w:val="vol"/>
          <w:b/>
          <w:bCs/>
          <w:color w:val="000000" w:themeColor="text1"/>
          <w:szCs w:val="22"/>
          <w:shd w:val="clear" w:color="auto" w:fill="FFFFFF"/>
        </w:rPr>
        <w:t>74</w:t>
      </w:r>
      <w:r w:rsidRPr="00A55275">
        <w:rPr>
          <w:color w:val="000000" w:themeColor="text1"/>
          <w:szCs w:val="22"/>
          <w:shd w:val="clear" w:color="auto" w:fill="FFFFFF"/>
        </w:rPr>
        <w:t>, </w:t>
      </w:r>
      <w:r w:rsidRPr="00A55275">
        <w:rPr>
          <w:rStyle w:val="pagefirst"/>
          <w:color w:val="000000" w:themeColor="text1"/>
          <w:szCs w:val="22"/>
          <w:shd w:val="clear" w:color="auto" w:fill="FFFFFF"/>
        </w:rPr>
        <w:t>595</w:t>
      </w:r>
      <w:r w:rsidRPr="00A55275">
        <w:rPr>
          <w:color w:val="000000" w:themeColor="text1"/>
          <w:szCs w:val="22"/>
          <w:shd w:val="clear" w:color="auto" w:fill="FFFFFF"/>
        </w:rPr>
        <w:t>– </w:t>
      </w:r>
      <w:r w:rsidRPr="00A55275">
        <w:rPr>
          <w:rStyle w:val="pagelast"/>
          <w:color w:val="000000" w:themeColor="text1"/>
          <w:szCs w:val="22"/>
          <w:shd w:val="clear" w:color="auto" w:fill="FFFFFF"/>
        </w:rPr>
        <w:t>626</w:t>
      </w:r>
      <w:r w:rsidRPr="00A55275">
        <w:rPr>
          <w:color w:val="000000" w:themeColor="text1"/>
          <w:szCs w:val="22"/>
          <w:shd w:val="clear" w:color="auto" w:fill="FFFFFF"/>
        </w:rPr>
        <w:t>.</w:t>
      </w:r>
    </w:p>
    <w:p w14:paraId="5A0245C3" w14:textId="77777777" w:rsidR="00CA4CC2" w:rsidRPr="00A55275" w:rsidRDefault="00CA4CC2" w:rsidP="000C53BC">
      <w:pPr>
        <w:pStyle w:val="NormalWeb"/>
        <w:spacing w:line="480" w:lineRule="auto"/>
        <w:ind w:left="480" w:hanging="480"/>
        <w:rPr>
          <w:color w:val="000000" w:themeColor="text1"/>
          <w:szCs w:val="22"/>
        </w:rPr>
      </w:pPr>
      <w:proofErr w:type="spellStart"/>
      <w:r w:rsidRPr="00A55275">
        <w:rPr>
          <w:color w:val="000000" w:themeColor="text1"/>
          <w:szCs w:val="22"/>
        </w:rPr>
        <w:t>Levings</w:t>
      </w:r>
      <w:proofErr w:type="spellEnd"/>
      <w:r w:rsidRPr="00A55275">
        <w:rPr>
          <w:color w:val="000000" w:themeColor="text1"/>
          <w:szCs w:val="22"/>
        </w:rPr>
        <w:t xml:space="preserve">, C. (1998). The Fraser River estuary, British Columbia, Canada: An introduction to its ecology, habitat management systems, and possible comparative work at the Han River estuary, Korea. </w:t>
      </w:r>
      <w:r w:rsidRPr="00A55275">
        <w:rPr>
          <w:i/>
          <w:iCs/>
          <w:color w:val="000000" w:themeColor="text1"/>
          <w:szCs w:val="22"/>
        </w:rPr>
        <w:t>Ocean Research</w:t>
      </w:r>
      <w:r w:rsidRPr="00A55275">
        <w:rPr>
          <w:color w:val="000000" w:themeColor="text1"/>
          <w:szCs w:val="22"/>
        </w:rPr>
        <w:t xml:space="preserve">, </w:t>
      </w:r>
      <w:r w:rsidRPr="00A55275">
        <w:rPr>
          <w:i/>
          <w:iCs/>
          <w:color w:val="000000" w:themeColor="text1"/>
          <w:szCs w:val="22"/>
        </w:rPr>
        <w:t>20</w:t>
      </w:r>
      <w:r w:rsidRPr="00A55275">
        <w:rPr>
          <w:color w:val="000000" w:themeColor="text1"/>
          <w:szCs w:val="22"/>
        </w:rPr>
        <w:t>(2 SPEC. ISS.), 199–207.</w:t>
      </w:r>
    </w:p>
    <w:p w14:paraId="243B2C5F"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Li, C. (2018). </w:t>
      </w:r>
      <w:r w:rsidRPr="00A55275">
        <w:rPr>
          <w:i/>
          <w:iCs/>
          <w:color w:val="000000" w:themeColor="text1"/>
          <w:szCs w:val="22"/>
        </w:rPr>
        <w:t>Delta Flood Protection System Risk Assessment Final Report</w:t>
      </w:r>
      <w:r w:rsidRPr="00A55275">
        <w:rPr>
          <w:color w:val="000000" w:themeColor="text1"/>
          <w:szCs w:val="22"/>
        </w:rPr>
        <w:t>. Stantec Inc.</w:t>
      </w:r>
    </w:p>
    <w:p w14:paraId="0D220CE2" w14:textId="77777777" w:rsidR="00CA4CC2" w:rsidRDefault="00CA4CC2" w:rsidP="000C53BC">
      <w:pPr>
        <w:pStyle w:val="NormalWeb"/>
        <w:spacing w:line="480" w:lineRule="auto"/>
        <w:ind w:left="480" w:hanging="480"/>
      </w:pPr>
      <w:proofErr w:type="spellStart"/>
      <w:r>
        <w:t>Lievesley</w:t>
      </w:r>
      <w:proofErr w:type="spellEnd"/>
      <w:r>
        <w:t xml:space="preserve">, M., Stewart, D., Knight, R., &amp; Mason, B. (2016). </w:t>
      </w:r>
      <w:r>
        <w:rPr>
          <w:i/>
          <w:iCs/>
        </w:rPr>
        <w:t>Assessing Habitat Compensation and Examining Limitations to Native Plant Establishment in the Lower Fraser River Estuary</w:t>
      </w:r>
      <w:r>
        <w:t>. https://www.cmnbc.ca/wp-content/uploads/2018/11/Assessing-Habitat-Compensation_2016Appendix-I-IV.pdf.</w:t>
      </w:r>
    </w:p>
    <w:p w14:paraId="6E5501CE" w14:textId="77777777" w:rsidR="00CA4CC2" w:rsidRPr="00A55275" w:rsidRDefault="00CA4CC2" w:rsidP="000C53BC">
      <w:pPr>
        <w:pStyle w:val="NormalWeb"/>
        <w:spacing w:line="480" w:lineRule="auto"/>
        <w:ind w:left="480" w:hanging="480"/>
        <w:rPr>
          <w:color w:val="000000" w:themeColor="text1"/>
          <w:szCs w:val="22"/>
          <w:lang w:val="fr-CA"/>
        </w:rPr>
      </w:pPr>
      <w:proofErr w:type="spellStart"/>
      <w:r w:rsidRPr="00A55275">
        <w:rPr>
          <w:color w:val="000000" w:themeColor="text1"/>
          <w:szCs w:val="22"/>
        </w:rPr>
        <w:t>Lokman</w:t>
      </w:r>
      <w:proofErr w:type="spellEnd"/>
      <w:r w:rsidRPr="00A55275">
        <w:rPr>
          <w:color w:val="000000" w:themeColor="text1"/>
          <w:szCs w:val="22"/>
        </w:rPr>
        <w:t xml:space="preserve">, K. (2019). Visualizing Coastal Risks in the Fraser River Delta. </w:t>
      </w:r>
      <w:r w:rsidRPr="00A55275">
        <w:rPr>
          <w:i/>
          <w:iCs/>
          <w:color w:val="000000" w:themeColor="text1"/>
          <w:szCs w:val="22"/>
          <w:lang w:val="fr-CA"/>
        </w:rPr>
        <w:t>Journal de La Société Des Océanistes</w:t>
      </w:r>
      <w:r w:rsidRPr="00A55275">
        <w:rPr>
          <w:color w:val="000000" w:themeColor="text1"/>
          <w:szCs w:val="22"/>
          <w:lang w:val="fr-CA"/>
        </w:rPr>
        <w:t xml:space="preserve">, </w:t>
      </w:r>
      <w:r w:rsidRPr="00A55275">
        <w:rPr>
          <w:i/>
          <w:iCs/>
          <w:color w:val="000000" w:themeColor="text1"/>
          <w:szCs w:val="22"/>
          <w:lang w:val="fr-CA"/>
        </w:rPr>
        <w:t>149</w:t>
      </w:r>
      <w:r w:rsidRPr="00A55275">
        <w:rPr>
          <w:color w:val="000000" w:themeColor="text1"/>
          <w:szCs w:val="22"/>
          <w:lang w:val="fr-CA"/>
        </w:rPr>
        <w:t>, 267–280. https://doi.org/10.4000/JSO.11136</w:t>
      </w:r>
    </w:p>
    <w:p w14:paraId="4E333585" w14:textId="77777777" w:rsidR="00CA4CC2" w:rsidRPr="00A55275" w:rsidRDefault="00CA4CC2" w:rsidP="000C53BC">
      <w:pPr>
        <w:pStyle w:val="NormalWeb"/>
        <w:spacing w:line="480" w:lineRule="auto"/>
        <w:ind w:left="480" w:hanging="480"/>
        <w:rPr>
          <w:color w:val="000000" w:themeColor="text1"/>
          <w:szCs w:val="22"/>
          <w:lang w:val="es-CR"/>
        </w:rPr>
      </w:pPr>
      <w:proofErr w:type="spellStart"/>
      <w:r w:rsidRPr="00A55275">
        <w:rPr>
          <w:rStyle w:val="author"/>
          <w:color w:val="000000" w:themeColor="text1"/>
          <w:szCs w:val="22"/>
          <w:shd w:val="clear" w:color="auto" w:fill="FFFFFF"/>
        </w:rPr>
        <w:t>Lotze</w:t>
      </w:r>
      <w:proofErr w:type="spellEnd"/>
      <w:r w:rsidRPr="00A55275">
        <w:rPr>
          <w:rStyle w:val="author"/>
          <w:color w:val="000000" w:themeColor="text1"/>
          <w:szCs w:val="22"/>
          <w:shd w:val="clear" w:color="auto" w:fill="FFFFFF"/>
        </w:rPr>
        <w:t>, H. K.</w:t>
      </w:r>
      <w:r w:rsidRPr="00A55275">
        <w:rPr>
          <w:color w:val="000000" w:themeColor="text1"/>
          <w:szCs w:val="22"/>
          <w:shd w:val="clear" w:color="auto" w:fill="FFFFFF"/>
        </w:rPr>
        <w:t>, </w:t>
      </w:r>
      <w:proofErr w:type="spellStart"/>
      <w:r w:rsidRPr="00A55275">
        <w:rPr>
          <w:rStyle w:val="author"/>
          <w:color w:val="000000" w:themeColor="text1"/>
          <w:szCs w:val="22"/>
          <w:shd w:val="clear" w:color="auto" w:fill="FFFFFF"/>
        </w:rPr>
        <w:t>Lenihan</w:t>
      </w:r>
      <w:proofErr w:type="spellEnd"/>
      <w:r w:rsidRPr="00A55275">
        <w:rPr>
          <w:rStyle w:val="author"/>
          <w:color w:val="000000" w:themeColor="text1"/>
          <w:szCs w:val="22"/>
          <w:shd w:val="clear" w:color="auto" w:fill="FFFFFF"/>
        </w:rPr>
        <w:t>, H. S.</w:t>
      </w:r>
      <w:r w:rsidRPr="00A55275">
        <w:rPr>
          <w:color w:val="000000" w:themeColor="text1"/>
          <w:szCs w:val="22"/>
          <w:shd w:val="clear" w:color="auto" w:fill="FFFFFF"/>
        </w:rPr>
        <w:t>, </w:t>
      </w:r>
      <w:r w:rsidRPr="00A55275">
        <w:rPr>
          <w:rStyle w:val="author"/>
          <w:color w:val="000000" w:themeColor="text1"/>
          <w:szCs w:val="22"/>
          <w:shd w:val="clear" w:color="auto" w:fill="FFFFFF"/>
        </w:rPr>
        <w:t>Bourque, B. J.</w:t>
      </w:r>
      <w:r w:rsidRPr="00A55275">
        <w:rPr>
          <w:color w:val="000000" w:themeColor="text1"/>
          <w:szCs w:val="22"/>
          <w:shd w:val="clear" w:color="auto" w:fill="FFFFFF"/>
        </w:rPr>
        <w:t>, </w:t>
      </w:r>
      <w:r w:rsidRPr="00A55275">
        <w:rPr>
          <w:rStyle w:val="author"/>
          <w:color w:val="000000" w:themeColor="text1"/>
          <w:szCs w:val="22"/>
          <w:shd w:val="clear" w:color="auto" w:fill="FFFFFF"/>
        </w:rPr>
        <w:t>Bradbury, R. H.</w:t>
      </w:r>
      <w:r w:rsidRPr="00A55275">
        <w:rPr>
          <w:color w:val="000000" w:themeColor="text1"/>
          <w:szCs w:val="22"/>
          <w:shd w:val="clear" w:color="auto" w:fill="FFFFFF"/>
        </w:rPr>
        <w:t>, </w:t>
      </w:r>
      <w:r w:rsidRPr="00A55275">
        <w:rPr>
          <w:rStyle w:val="author"/>
          <w:color w:val="000000" w:themeColor="text1"/>
          <w:szCs w:val="22"/>
          <w:shd w:val="clear" w:color="auto" w:fill="FFFFFF"/>
        </w:rPr>
        <w:t>Cooke, R. G.</w:t>
      </w:r>
      <w:r w:rsidRPr="00A55275">
        <w:rPr>
          <w:color w:val="000000" w:themeColor="text1"/>
          <w:szCs w:val="22"/>
          <w:shd w:val="clear" w:color="auto" w:fill="FFFFFF"/>
        </w:rPr>
        <w:t>, </w:t>
      </w:r>
      <w:r w:rsidRPr="00A55275">
        <w:rPr>
          <w:rStyle w:val="author"/>
          <w:color w:val="000000" w:themeColor="text1"/>
          <w:szCs w:val="22"/>
          <w:shd w:val="clear" w:color="auto" w:fill="FFFFFF"/>
        </w:rPr>
        <w:t>Kay, M. C.</w:t>
      </w:r>
      <w:r w:rsidRPr="00A55275">
        <w:rPr>
          <w:color w:val="000000" w:themeColor="text1"/>
          <w:szCs w:val="22"/>
          <w:shd w:val="clear" w:color="auto" w:fill="FFFFFF"/>
        </w:rPr>
        <w:t xml:space="preserve">, </w:t>
      </w:r>
      <w:r w:rsidRPr="00A55275">
        <w:rPr>
          <w:rStyle w:val="author"/>
          <w:color w:val="000000" w:themeColor="text1"/>
          <w:szCs w:val="22"/>
          <w:shd w:val="clear" w:color="auto" w:fill="FFFFFF"/>
        </w:rPr>
        <w:t>Jackson, J. B. C.</w:t>
      </w:r>
      <w:r w:rsidRPr="00A55275">
        <w:rPr>
          <w:color w:val="000000" w:themeColor="text1"/>
          <w:szCs w:val="22"/>
          <w:shd w:val="clear" w:color="auto" w:fill="FFFFFF"/>
        </w:rPr>
        <w:t> (</w:t>
      </w:r>
      <w:r w:rsidRPr="00A55275">
        <w:rPr>
          <w:rStyle w:val="pubyear"/>
          <w:color w:val="000000" w:themeColor="text1"/>
          <w:szCs w:val="22"/>
          <w:shd w:val="clear" w:color="auto" w:fill="FFFFFF"/>
        </w:rPr>
        <w:t>2006</w:t>
      </w:r>
      <w:r w:rsidRPr="00A55275">
        <w:rPr>
          <w:color w:val="000000" w:themeColor="text1"/>
          <w:szCs w:val="22"/>
          <w:shd w:val="clear" w:color="auto" w:fill="FFFFFF"/>
        </w:rPr>
        <w:t>). </w:t>
      </w:r>
      <w:r w:rsidRPr="00A55275">
        <w:rPr>
          <w:rStyle w:val="articletitle"/>
          <w:color w:val="000000" w:themeColor="text1"/>
          <w:szCs w:val="22"/>
          <w:shd w:val="clear" w:color="auto" w:fill="FFFFFF"/>
        </w:rPr>
        <w:t>Depletion, degradation, and recovery potential of estuaries and co</w:t>
      </w:r>
      <w:r w:rsidRPr="00A55275">
        <w:rPr>
          <w:szCs w:val="22"/>
        </w:rPr>
        <w:t>astal seas</w:t>
      </w:r>
      <w:r w:rsidRPr="00A55275">
        <w:rPr>
          <w:color w:val="000000" w:themeColor="text1"/>
          <w:szCs w:val="22"/>
          <w:shd w:val="clear" w:color="auto" w:fill="FFFFFF"/>
        </w:rPr>
        <w:t>. </w:t>
      </w:r>
      <w:r w:rsidRPr="00A55275">
        <w:rPr>
          <w:i/>
          <w:iCs/>
          <w:color w:val="000000" w:themeColor="text1"/>
          <w:szCs w:val="22"/>
          <w:shd w:val="clear" w:color="auto" w:fill="FFFFFF"/>
          <w:lang w:val="es-CR"/>
        </w:rPr>
        <w:t>Science</w:t>
      </w:r>
      <w:r w:rsidRPr="00A55275">
        <w:rPr>
          <w:color w:val="000000" w:themeColor="text1"/>
          <w:szCs w:val="22"/>
          <w:shd w:val="clear" w:color="auto" w:fill="FFFFFF"/>
          <w:lang w:val="es-CR"/>
        </w:rPr>
        <w:t>, </w:t>
      </w:r>
      <w:r w:rsidRPr="00A55275">
        <w:rPr>
          <w:rStyle w:val="vol"/>
          <w:b/>
          <w:bCs/>
          <w:color w:val="000000" w:themeColor="text1"/>
          <w:szCs w:val="22"/>
          <w:shd w:val="clear" w:color="auto" w:fill="FFFFFF"/>
          <w:lang w:val="es-CR"/>
        </w:rPr>
        <w:t>312</w:t>
      </w:r>
      <w:r w:rsidRPr="00A55275">
        <w:rPr>
          <w:color w:val="000000" w:themeColor="text1"/>
          <w:szCs w:val="22"/>
          <w:shd w:val="clear" w:color="auto" w:fill="FFFFFF"/>
          <w:lang w:val="es-CR"/>
        </w:rPr>
        <w:t>, </w:t>
      </w:r>
      <w:r w:rsidRPr="00A55275">
        <w:rPr>
          <w:rStyle w:val="pagefirst"/>
          <w:color w:val="000000" w:themeColor="text1"/>
          <w:szCs w:val="22"/>
          <w:shd w:val="clear" w:color="auto" w:fill="FFFFFF"/>
          <w:lang w:val="es-CR"/>
        </w:rPr>
        <w:t>1806</w:t>
      </w:r>
      <w:r w:rsidRPr="00A55275">
        <w:rPr>
          <w:color w:val="000000" w:themeColor="text1"/>
          <w:szCs w:val="22"/>
          <w:shd w:val="clear" w:color="auto" w:fill="FFFFFF"/>
          <w:lang w:val="es-CR"/>
        </w:rPr>
        <w:t>– </w:t>
      </w:r>
      <w:r w:rsidRPr="00A55275">
        <w:rPr>
          <w:rStyle w:val="pagelast"/>
          <w:color w:val="000000" w:themeColor="text1"/>
          <w:szCs w:val="22"/>
          <w:shd w:val="clear" w:color="auto" w:fill="FFFFFF"/>
          <w:lang w:val="es-CR"/>
        </w:rPr>
        <w:t>1809</w:t>
      </w:r>
      <w:r w:rsidRPr="00A55275">
        <w:rPr>
          <w:color w:val="000000" w:themeColor="text1"/>
          <w:szCs w:val="22"/>
          <w:shd w:val="clear" w:color="auto" w:fill="FFFFFF"/>
          <w:lang w:val="es-CR"/>
        </w:rPr>
        <w:t>. </w:t>
      </w:r>
      <w:hyperlink r:id="rId15" w:history="1">
        <w:r w:rsidRPr="00A55275">
          <w:rPr>
            <w:rStyle w:val="Hyperlink"/>
            <w:color w:val="000000" w:themeColor="text1"/>
            <w:szCs w:val="22"/>
            <w:shd w:val="clear" w:color="auto" w:fill="FFFFFF"/>
            <w:lang w:val="es-CR"/>
          </w:rPr>
          <w:t>http://science.sciencemag.org/content/312/5781/1806.abstract</w:t>
        </w:r>
      </w:hyperlink>
    </w:p>
    <w:p w14:paraId="1D99088F" w14:textId="77777777" w:rsidR="00CA4CC2" w:rsidRPr="00A55275" w:rsidRDefault="00CA4CC2" w:rsidP="000C53BC">
      <w:pPr>
        <w:pStyle w:val="NormalWeb"/>
        <w:spacing w:line="480" w:lineRule="auto"/>
        <w:ind w:left="480" w:hanging="480"/>
        <w:rPr>
          <w:color w:val="000000" w:themeColor="text1"/>
          <w:szCs w:val="22"/>
        </w:rPr>
      </w:pPr>
      <w:proofErr w:type="spellStart"/>
      <w:r w:rsidRPr="00A55275">
        <w:rPr>
          <w:color w:val="000000" w:themeColor="text1"/>
          <w:szCs w:val="22"/>
          <w:lang w:val="es-CR"/>
        </w:rPr>
        <w:lastRenderedPageBreak/>
        <w:t>Masselink</w:t>
      </w:r>
      <w:proofErr w:type="spellEnd"/>
      <w:r w:rsidRPr="00A55275">
        <w:rPr>
          <w:color w:val="000000" w:themeColor="text1"/>
          <w:szCs w:val="22"/>
          <w:lang w:val="es-CR"/>
        </w:rPr>
        <w:t xml:space="preserve">, G., &amp; Lazarus, E. D. (2019). </w:t>
      </w:r>
      <w:r w:rsidRPr="00A55275">
        <w:rPr>
          <w:color w:val="000000" w:themeColor="text1"/>
          <w:szCs w:val="22"/>
        </w:rPr>
        <w:t xml:space="preserve">Defining Coastal Resilience. </w:t>
      </w:r>
      <w:r w:rsidRPr="00A55275">
        <w:rPr>
          <w:i/>
          <w:iCs/>
          <w:color w:val="000000" w:themeColor="text1"/>
          <w:szCs w:val="22"/>
        </w:rPr>
        <w:t>Water 2019, Vol. 11, Page 2587</w:t>
      </w:r>
      <w:r w:rsidRPr="00A55275">
        <w:rPr>
          <w:color w:val="000000" w:themeColor="text1"/>
          <w:szCs w:val="22"/>
        </w:rPr>
        <w:t xml:space="preserve">, </w:t>
      </w:r>
      <w:r w:rsidRPr="00A55275">
        <w:rPr>
          <w:i/>
          <w:iCs/>
          <w:color w:val="000000" w:themeColor="text1"/>
          <w:szCs w:val="22"/>
        </w:rPr>
        <w:t>11</w:t>
      </w:r>
      <w:r w:rsidRPr="00A55275">
        <w:rPr>
          <w:color w:val="000000" w:themeColor="text1"/>
          <w:szCs w:val="22"/>
        </w:rPr>
        <w:t>(12), 2587. https://doi.org/10.3390/W11122587</w:t>
      </w:r>
    </w:p>
    <w:p w14:paraId="12EA163E" w14:textId="72F9BE4D" w:rsidR="00CA4CC2" w:rsidRPr="00A55275" w:rsidRDefault="00CA4CC2" w:rsidP="000C53BC">
      <w:pPr>
        <w:spacing w:line="480" w:lineRule="auto"/>
        <w:ind w:firstLine="0"/>
        <w:rPr>
          <w:color w:val="000000" w:themeColor="text1"/>
        </w:rPr>
      </w:pPr>
      <w:r w:rsidRPr="00A55275">
        <w:rPr>
          <w:color w:val="000000" w:themeColor="text1"/>
        </w:rPr>
        <w:t>McKinley E, Ballinger RC, Beaumont NJ</w:t>
      </w:r>
      <w:r w:rsidR="001C1910">
        <w:rPr>
          <w:color w:val="000000" w:themeColor="text1"/>
        </w:rPr>
        <w:t>.</w:t>
      </w:r>
      <w:r w:rsidRPr="00A55275">
        <w:rPr>
          <w:color w:val="000000" w:themeColor="text1"/>
        </w:rPr>
        <w:t xml:space="preserve"> (2018)</w:t>
      </w:r>
      <w:r w:rsidR="001C1910">
        <w:rPr>
          <w:color w:val="000000" w:themeColor="text1"/>
        </w:rPr>
        <w:t>.</w:t>
      </w:r>
      <w:r w:rsidRPr="00A55275">
        <w:rPr>
          <w:color w:val="000000" w:themeColor="text1"/>
        </w:rPr>
        <w:t xml:space="preserve"> Saltmarshes, eco- system services, and an </w:t>
      </w:r>
      <w:r w:rsidRPr="00A55275">
        <w:rPr>
          <w:color w:val="000000" w:themeColor="text1"/>
        </w:rPr>
        <w:tab/>
        <w:t xml:space="preserve">evolving policy landscape: a case study of Wales, UK. Mar Policy 91:1–10. https://doi. </w:t>
      </w:r>
      <w:r w:rsidRPr="00A55275">
        <w:rPr>
          <w:color w:val="000000" w:themeColor="text1"/>
        </w:rPr>
        <w:tab/>
        <w:t>org/10.1016/</w:t>
      </w:r>
      <w:proofErr w:type="spellStart"/>
      <w:r w:rsidRPr="00A55275">
        <w:rPr>
          <w:color w:val="000000" w:themeColor="text1"/>
        </w:rPr>
        <w:t>j.marpol</w:t>
      </w:r>
      <w:proofErr w:type="spellEnd"/>
      <w:r w:rsidRPr="00A55275">
        <w:rPr>
          <w:color w:val="000000" w:themeColor="text1"/>
        </w:rPr>
        <w:t>.</w:t>
      </w:r>
    </w:p>
    <w:p w14:paraId="3963F628" w14:textId="77777777" w:rsidR="00CA4CC2" w:rsidRDefault="00CA4CC2" w:rsidP="000C53BC">
      <w:pPr>
        <w:pStyle w:val="NormalWeb"/>
        <w:spacing w:line="480" w:lineRule="auto"/>
        <w:ind w:left="480" w:hanging="480"/>
      </w:pPr>
      <w:r>
        <w:t xml:space="preserve">Ministry of Water, Land and Resource Stewardship. (2022). </w:t>
      </w:r>
      <w:r>
        <w:rPr>
          <w:i/>
          <w:iCs/>
        </w:rPr>
        <w:t>A Coastal Marine Strategy for British Columbia Policy Intentions Paper</w:t>
      </w:r>
      <w:r>
        <w:t>. Government of British Columbia. https://engage.gov.bc.ca/app/uploads/sites/121/2022/12/Coastal-Marine-Strategy-Intentions-Paper.pdf</w:t>
      </w:r>
    </w:p>
    <w:p w14:paraId="4AE727C2" w14:textId="77777777" w:rsidR="00CA4CC2" w:rsidRDefault="00CA4CC2" w:rsidP="000C53BC">
      <w:pPr>
        <w:pStyle w:val="NormalWeb"/>
        <w:spacing w:line="480" w:lineRule="auto"/>
        <w:ind w:left="480" w:hanging="480"/>
      </w:pPr>
      <w:r>
        <w:t xml:space="preserve">Ministry of Water, Land and Resource Stewardship. (2023). </w:t>
      </w:r>
      <w:r>
        <w:rPr>
          <w:i/>
          <w:iCs/>
        </w:rPr>
        <w:t>Watershed Security Strategy and Fund Intentions Paper</w:t>
      </w:r>
      <w:r>
        <w:t xml:space="preserve">. Government of British Columbia. </w:t>
      </w:r>
    </w:p>
    <w:p w14:paraId="20ED2568" w14:textId="77777777" w:rsidR="00CA4CC2" w:rsidRPr="00A55275" w:rsidRDefault="00CA4CC2" w:rsidP="000C53BC">
      <w:pPr>
        <w:pStyle w:val="NormalWeb"/>
        <w:spacing w:line="480" w:lineRule="auto"/>
        <w:ind w:left="480" w:hanging="480"/>
        <w:rPr>
          <w:szCs w:val="22"/>
        </w:rPr>
      </w:pPr>
      <w:proofErr w:type="spellStart"/>
      <w:r w:rsidRPr="00A55275">
        <w:rPr>
          <w:szCs w:val="22"/>
        </w:rPr>
        <w:t>Moraes</w:t>
      </w:r>
      <w:proofErr w:type="spellEnd"/>
      <w:r w:rsidRPr="00A55275">
        <w:rPr>
          <w:szCs w:val="22"/>
        </w:rPr>
        <w:t xml:space="preserve">, R. P. L., </w:t>
      </w:r>
      <w:proofErr w:type="spellStart"/>
      <w:r w:rsidRPr="00A55275">
        <w:rPr>
          <w:szCs w:val="22"/>
        </w:rPr>
        <w:t>Reguero</w:t>
      </w:r>
      <w:proofErr w:type="spellEnd"/>
      <w:r w:rsidRPr="00A55275">
        <w:rPr>
          <w:szCs w:val="22"/>
        </w:rPr>
        <w:t xml:space="preserve">, B. G., </w:t>
      </w:r>
      <w:proofErr w:type="spellStart"/>
      <w:r w:rsidRPr="00A55275">
        <w:rPr>
          <w:szCs w:val="22"/>
        </w:rPr>
        <w:t>Mazarrasa</w:t>
      </w:r>
      <w:proofErr w:type="spellEnd"/>
      <w:r w:rsidRPr="00A55275">
        <w:rPr>
          <w:szCs w:val="22"/>
        </w:rPr>
        <w:t xml:space="preserve">, I., Ricker, M., &amp; </w:t>
      </w:r>
      <w:proofErr w:type="spellStart"/>
      <w:r w:rsidRPr="00A55275">
        <w:rPr>
          <w:szCs w:val="22"/>
        </w:rPr>
        <w:t>Juanes</w:t>
      </w:r>
      <w:proofErr w:type="spellEnd"/>
      <w:r w:rsidRPr="00A55275">
        <w:rPr>
          <w:szCs w:val="22"/>
        </w:rPr>
        <w:t xml:space="preserve">, J. A. (2022). Nature-Based Solutions in Coastal and Estuarine Areas of Europe. </w:t>
      </w:r>
      <w:r w:rsidRPr="00A55275">
        <w:rPr>
          <w:i/>
          <w:iCs/>
          <w:szCs w:val="22"/>
        </w:rPr>
        <w:t>Frontiers in Environmental Science</w:t>
      </w:r>
      <w:r w:rsidRPr="00A55275">
        <w:rPr>
          <w:szCs w:val="22"/>
        </w:rPr>
        <w:t xml:space="preserve">, </w:t>
      </w:r>
      <w:r w:rsidRPr="00A55275">
        <w:rPr>
          <w:i/>
          <w:iCs/>
          <w:szCs w:val="22"/>
        </w:rPr>
        <w:t>10</w:t>
      </w:r>
      <w:r w:rsidRPr="00A55275">
        <w:rPr>
          <w:szCs w:val="22"/>
        </w:rPr>
        <w:t>, 928. https://doi.org/10.3389/FENVS.2022.829526/BIBTEX</w:t>
      </w:r>
    </w:p>
    <w:p w14:paraId="30576BEB" w14:textId="5E81143E" w:rsidR="00CA4CC2" w:rsidRDefault="00CA4CC2" w:rsidP="000C53BC">
      <w:pPr>
        <w:pStyle w:val="NormalWeb"/>
        <w:spacing w:line="480" w:lineRule="auto"/>
        <w:ind w:left="480" w:hanging="480"/>
      </w:pPr>
      <w:r>
        <w:t xml:space="preserve">Ned, M., Martin, T. G., Carlson, D., </w:t>
      </w:r>
      <w:proofErr w:type="spellStart"/>
      <w:r>
        <w:t>Macduffee</w:t>
      </w:r>
      <w:proofErr w:type="spellEnd"/>
      <w:r>
        <w:t xml:space="preserve">, M., &amp; Dixon, R. (2020). </w:t>
      </w:r>
      <w:r>
        <w:rPr>
          <w:i/>
          <w:iCs/>
        </w:rPr>
        <w:t>Blueprint for restoring ecological governance to the Lower Fraser River</w:t>
      </w:r>
      <w:r>
        <w:t xml:space="preserve">. Lower Fraser Fisheries Alliance. </w:t>
      </w:r>
    </w:p>
    <w:p w14:paraId="6F041832" w14:textId="18F284B1" w:rsidR="00CA4CC2" w:rsidRPr="002702F7" w:rsidRDefault="00CA4CC2" w:rsidP="000C53BC">
      <w:pPr>
        <w:pStyle w:val="NormalWeb"/>
        <w:spacing w:line="480" w:lineRule="auto"/>
        <w:ind w:left="480" w:hanging="480"/>
      </w:pPr>
      <w:r>
        <w:t xml:space="preserve">North American Bird Conservation Initiative Canada. (2012). </w:t>
      </w:r>
      <w:r>
        <w:rPr>
          <w:i/>
          <w:iCs/>
        </w:rPr>
        <w:t>The State of Canada’s Birds</w:t>
      </w:r>
      <w:r>
        <w:t>. https://naturecanada.ca/wp-content/uploads/2014/09/State_of_Canadas_birds_2012.pdf?</w:t>
      </w:r>
    </w:p>
    <w:p w14:paraId="123E3C59" w14:textId="2AD92F94" w:rsidR="00CA4CC2" w:rsidRPr="00A55275" w:rsidRDefault="00CA4CC2" w:rsidP="000C53BC">
      <w:pPr>
        <w:spacing w:line="480" w:lineRule="auto"/>
        <w:ind w:firstLine="0"/>
        <w:rPr>
          <w:color w:val="000000" w:themeColor="text1"/>
        </w:rPr>
      </w:pPr>
      <w:r w:rsidRPr="00A55275">
        <w:rPr>
          <w:color w:val="000000" w:themeColor="text1"/>
        </w:rPr>
        <w:t xml:space="preserve">Parsons, M., Taylor, L., Crease, R. (2021). Indigenous Environmental Justice within Marine </w:t>
      </w:r>
      <w:r w:rsidRPr="00A55275">
        <w:rPr>
          <w:color w:val="000000" w:themeColor="text1"/>
        </w:rPr>
        <w:tab/>
        <w:t xml:space="preserve">Ecosystems: A Systematic Review of the Literature on Indigenous Peoples’ Involvement </w:t>
      </w:r>
      <w:r w:rsidRPr="00A55275">
        <w:rPr>
          <w:color w:val="000000" w:themeColor="text1"/>
        </w:rPr>
        <w:tab/>
        <w:t xml:space="preserve">in Marine Governance and Management. Sustainability, 13, 4217. </w:t>
      </w:r>
      <w:r w:rsidRPr="00A55275">
        <w:rPr>
          <w:color w:val="000000" w:themeColor="text1"/>
        </w:rPr>
        <w:tab/>
        <w:t>https://doi.org/10.3390/ su13084217</w:t>
      </w:r>
    </w:p>
    <w:p w14:paraId="59C15C23" w14:textId="365B1D5B" w:rsidR="00CA4CC2" w:rsidRPr="00A55275" w:rsidRDefault="00CA4CC2" w:rsidP="000C53BC">
      <w:pPr>
        <w:spacing w:line="480" w:lineRule="auto"/>
        <w:ind w:firstLine="0"/>
        <w:rPr>
          <w:color w:val="000000" w:themeColor="text1"/>
        </w:rPr>
      </w:pPr>
      <w:proofErr w:type="spellStart"/>
      <w:r w:rsidRPr="00A55275">
        <w:rPr>
          <w:color w:val="000000" w:themeColor="text1"/>
        </w:rPr>
        <w:lastRenderedPageBreak/>
        <w:t>Partelow</w:t>
      </w:r>
      <w:proofErr w:type="spellEnd"/>
      <w:r w:rsidRPr="00A55275">
        <w:rPr>
          <w:color w:val="000000" w:themeColor="text1"/>
        </w:rPr>
        <w:t xml:space="preserve">, S., A. Schlüter, D. Armitage, M. Bavinck, K. Carlisle, R. </w:t>
      </w:r>
      <w:proofErr w:type="spellStart"/>
      <w:r w:rsidRPr="00A55275">
        <w:rPr>
          <w:color w:val="000000" w:themeColor="text1"/>
        </w:rPr>
        <w:t>Gruby</w:t>
      </w:r>
      <w:proofErr w:type="spellEnd"/>
      <w:r w:rsidRPr="00A55275">
        <w:rPr>
          <w:color w:val="000000" w:themeColor="text1"/>
        </w:rPr>
        <w:t xml:space="preserve">, A.-K. </w:t>
      </w:r>
      <w:proofErr w:type="spellStart"/>
      <w:r w:rsidRPr="00A55275">
        <w:rPr>
          <w:color w:val="000000" w:themeColor="text1"/>
        </w:rPr>
        <w:t>Hornidge</w:t>
      </w:r>
      <w:proofErr w:type="spellEnd"/>
      <w:r w:rsidRPr="00A55275">
        <w:rPr>
          <w:color w:val="000000" w:themeColor="text1"/>
        </w:rPr>
        <w:t xml:space="preserve">, M. </w:t>
      </w:r>
      <w:r w:rsidRPr="00A55275">
        <w:rPr>
          <w:color w:val="000000" w:themeColor="text1"/>
        </w:rPr>
        <w:tab/>
      </w:r>
      <w:r w:rsidRPr="00A55275">
        <w:rPr>
          <w:color w:val="000000" w:themeColor="text1"/>
          <w:lang w:val="fr-CA"/>
        </w:rPr>
        <w:t xml:space="preserve">Le Tissier, J. Pittman, A. M. Song, L. P. Sousa, N. </w:t>
      </w:r>
      <w:proofErr w:type="spellStart"/>
      <w:r w:rsidRPr="00A55275">
        <w:rPr>
          <w:color w:val="000000" w:themeColor="text1"/>
          <w:lang w:val="fr-CA"/>
        </w:rPr>
        <w:t>Văidianu</w:t>
      </w:r>
      <w:proofErr w:type="spellEnd"/>
      <w:r w:rsidRPr="00A55275">
        <w:rPr>
          <w:color w:val="000000" w:themeColor="text1"/>
          <w:lang w:val="fr-CA"/>
        </w:rPr>
        <w:t xml:space="preserve">, and K. Van </w:t>
      </w:r>
      <w:proofErr w:type="spellStart"/>
      <w:r w:rsidRPr="00A55275">
        <w:rPr>
          <w:color w:val="000000" w:themeColor="text1"/>
          <w:lang w:val="fr-CA"/>
        </w:rPr>
        <w:t>Assche</w:t>
      </w:r>
      <w:proofErr w:type="spellEnd"/>
      <w:r w:rsidRPr="00A55275">
        <w:rPr>
          <w:color w:val="000000" w:themeColor="text1"/>
          <w:lang w:val="fr-CA"/>
        </w:rPr>
        <w:t xml:space="preserve">. </w:t>
      </w:r>
      <w:r w:rsidRPr="00A55275">
        <w:rPr>
          <w:color w:val="000000" w:themeColor="text1"/>
        </w:rPr>
        <w:t xml:space="preserve">2020. </w:t>
      </w:r>
      <w:r w:rsidRPr="00A55275">
        <w:rPr>
          <w:color w:val="000000" w:themeColor="text1"/>
        </w:rPr>
        <w:tab/>
        <w:t xml:space="preserve">Environmental governance theories: a review and application to coastal systems. Ecology </w:t>
      </w:r>
      <w:r w:rsidRPr="00A55275">
        <w:rPr>
          <w:color w:val="000000" w:themeColor="text1"/>
        </w:rPr>
        <w:tab/>
        <w:t xml:space="preserve">and Society 25(4):19. </w:t>
      </w:r>
      <w:r w:rsidRPr="002702F7">
        <w:t>https://doi.org/10.5751/ES-12067-250419</w:t>
      </w:r>
    </w:p>
    <w:p w14:paraId="0115A9D4" w14:textId="57B394ED" w:rsidR="00CA4CC2" w:rsidRPr="000C53BC" w:rsidRDefault="00CA4CC2" w:rsidP="000C53BC">
      <w:pPr>
        <w:spacing w:line="480" w:lineRule="auto"/>
        <w:ind w:firstLine="0"/>
        <w:rPr>
          <w:color w:val="000000" w:themeColor="text1"/>
          <w:lang w:val="fr-CA"/>
        </w:rPr>
      </w:pPr>
      <w:r w:rsidRPr="00A55275">
        <w:rPr>
          <w:color w:val="000000" w:themeColor="text1"/>
        </w:rPr>
        <w:t xml:space="preserve">Pittman J, Armitage D (2016). Governance across the land-sea interface: a systematic review. </w:t>
      </w:r>
      <w:r w:rsidRPr="00A55275">
        <w:rPr>
          <w:color w:val="000000" w:themeColor="text1"/>
        </w:rPr>
        <w:tab/>
      </w:r>
      <w:r w:rsidRPr="00A55275">
        <w:rPr>
          <w:color w:val="000000" w:themeColor="text1"/>
          <w:lang w:val="fr-CA"/>
        </w:rPr>
        <w:t xml:space="preserve">Environ </w:t>
      </w:r>
      <w:proofErr w:type="spellStart"/>
      <w:r w:rsidRPr="00A55275">
        <w:rPr>
          <w:color w:val="000000" w:themeColor="text1"/>
          <w:lang w:val="fr-CA"/>
        </w:rPr>
        <w:t>Sci</w:t>
      </w:r>
      <w:proofErr w:type="spellEnd"/>
      <w:r w:rsidRPr="00A55275">
        <w:rPr>
          <w:color w:val="000000" w:themeColor="text1"/>
          <w:lang w:val="fr-CA"/>
        </w:rPr>
        <w:t xml:space="preserve"> Policy 64:9–17. https://doi.org/10.1016/j.envsci.2016.05.022</w:t>
      </w:r>
      <w:r w:rsidRPr="00A55275">
        <w:rPr>
          <w:color w:val="000000" w:themeColor="text1"/>
          <w:spacing w:val="-5"/>
          <w:lang w:val="fr-CA"/>
        </w:rPr>
        <w:t xml:space="preserve"> </w:t>
      </w:r>
    </w:p>
    <w:p w14:paraId="004E99F0" w14:textId="09FCF56F" w:rsidR="00CA4CC2" w:rsidRPr="00C3188D" w:rsidRDefault="00CA4CC2" w:rsidP="000C53BC">
      <w:pPr>
        <w:spacing w:line="480" w:lineRule="auto"/>
        <w:ind w:firstLine="0"/>
        <w:rPr>
          <w:color w:val="000000" w:themeColor="text1"/>
          <w:spacing w:val="-5"/>
        </w:rPr>
      </w:pPr>
      <w:r w:rsidRPr="00A55275">
        <w:rPr>
          <w:color w:val="000000" w:themeColor="text1"/>
          <w:spacing w:val="-5"/>
          <w:lang w:val="fr-CA"/>
        </w:rPr>
        <w:t xml:space="preserve">Plummer, R., </w:t>
      </w:r>
      <w:proofErr w:type="spellStart"/>
      <w:r w:rsidRPr="00A55275">
        <w:rPr>
          <w:color w:val="000000" w:themeColor="text1"/>
          <w:spacing w:val="-5"/>
          <w:lang w:val="fr-CA"/>
        </w:rPr>
        <w:t>Armitage</w:t>
      </w:r>
      <w:proofErr w:type="spellEnd"/>
      <w:r w:rsidRPr="00A55275">
        <w:rPr>
          <w:color w:val="000000" w:themeColor="text1"/>
          <w:spacing w:val="-5"/>
          <w:lang w:val="fr-CA"/>
        </w:rPr>
        <w:t xml:space="preserve">, D. R., &amp; de </w:t>
      </w:r>
      <w:proofErr w:type="spellStart"/>
      <w:r w:rsidRPr="00A55275">
        <w:rPr>
          <w:color w:val="000000" w:themeColor="text1"/>
          <w:spacing w:val="-5"/>
          <w:lang w:val="fr-CA"/>
        </w:rPr>
        <w:t>Loë</w:t>
      </w:r>
      <w:proofErr w:type="spellEnd"/>
      <w:r w:rsidRPr="00A55275">
        <w:rPr>
          <w:color w:val="000000" w:themeColor="text1"/>
          <w:spacing w:val="-5"/>
          <w:lang w:val="fr-CA"/>
        </w:rPr>
        <w:t xml:space="preserve">, R. C. (2013). </w:t>
      </w:r>
      <w:r w:rsidRPr="00A55275">
        <w:rPr>
          <w:color w:val="000000" w:themeColor="text1"/>
          <w:spacing w:val="-5"/>
        </w:rPr>
        <w:t xml:space="preserve">Adaptive </w:t>
      </w:r>
      <w:proofErr w:type="spellStart"/>
      <w:r w:rsidRPr="00A55275">
        <w:rPr>
          <w:color w:val="000000" w:themeColor="text1"/>
          <w:spacing w:val="-5"/>
        </w:rPr>
        <w:t>Comanagement</w:t>
      </w:r>
      <w:proofErr w:type="spellEnd"/>
      <w:r w:rsidRPr="00A55275">
        <w:rPr>
          <w:color w:val="000000" w:themeColor="text1"/>
          <w:spacing w:val="-5"/>
        </w:rPr>
        <w:t xml:space="preserve"> and Its Relationship </w:t>
      </w:r>
      <w:r w:rsidRPr="00A55275">
        <w:rPr>
          <w:color w:val="000000" w:themeColor="text1"/>
          <w:spacing w:val="-5"/>
        </w:rPr>
        <w:tab/>
        <w:t>to Environmental Governance. </w:t>
      </w:r>
      <w:r w:rsidRPr="00A55275">
        <w:rPr>
          <w:i/>
          <w:iCs/>
          <w:color w:val="000000" w:themeColor="text1"/>
          <w:spacing w:val="-5"/>
        </w:rPr>
        <w:t>Ecology and Society</w:t>
      </w:r>
      <w:r w:rsidRPr="00A55275">
        <w:rPr>
          <w:color w:val="000000" w:themeColor="text1"/>
          <w:spacing w:val="-5"/>
        </w:rPr>
        <w:t>, </w:t>
      </w:r>
      <w:r w:rsidRPr="00A55275">
        <w:rPr>
          <w:i/>
          <w:iCs/>
          <w:color w:val="000000" w:themeColor="text1"/>
          <w:spacing w:val="-5"/>
        </w:rPr>
        <w:t>18</w:t>
      </w:r>
      <w:r w:rsidRPr="00A55275">
        <w:rPr>
          <w:color w:val="000000" w:themeColor="text1"/>
          <w:spacing w:val="-5"/>
        </w:rPr>
        <w:t xml:space="preserve">(1). </w:t>
      </w:r>
      <w:r w:rsidRPr="00A55275">
        <w:rPr>
          <w:color w:val="000000" w:themeColor="text1"/>
          <w:spacing w:val="-5"/>
        </w:rPr>
        <w:tab/>
      </w:r>
      <w:r w:rsidRPr="00C3188D">
        <w:rPr>
          <w:spacing w:val="-5"/>
        </w:rPr>
        <w:t>http://www.jstor.org/stable/26269268</w:t>
      </w:r>
    </w:p>
    <w:p w14:paraId="2A1C98A8" w14:textId="77777777" w:rsidR="00CD32FD" w:rsidRPr="00CD32FD" w:rsidRDefault="00CD32FD" w:rsidP="00CD32FD">
      <w:pPr>
        <w:suppressAutoHyphens w:val="0"/>
        <w:spacing w:before="100" w:beforeAutospacing="1" w:after="100" w:afterAutospacing="1" w:line="480" w:lineRule="auto"/>
        <w:ind w:left="480" w:hanging="480"/>
        <w:rPr>
          <w:lang w:val="en-CA"/>
        </w:rPr>
      </w:pPr>
      <w:r w:rsidRPr="00CD32FD">
        <w:rPr>
          <w:lang w:val="en-CA"/>
        </w:rPr>
        <w:t xml:space="preserve">Powell, E. J., Tyrrell, M. C., Milliken, A., </w:t>
      </w:r>
      <w:proofErr w:type="spellStart"/>
      <w:r w:rsidRPr="00CD32FD">
        <w:rPr>
          <w:lang w:val="en-CA"/>
        </w:rPr>
        <w:t>Tirpak</w:t>
      </w:r>
      <w:proofErr w:type="spellEnd"/>
      <w:r w:rsidRPr="00CD32FD">
        <w:rPr>
          <w:lang w:val="en-CA"/>
        </w:rPr>
        <w:t xml:space="preserve">, J. M., &amp; Staudinger, M. D. (2019). A review of coastal management approaches to support the integration of ecological and human community planning for climate change. </w:t>
      </w:r>
      <w:r w:rsidRPr="00CD32FD">
        <w:rPr>
          <w:i/>
          <w:iCs/>
          <w:lang w:val="en-CA"/>
        </w:rPr>
        <w:t>Journal of Coastal Conservation</w:t>
      </w:r>
      <w:r w:rsidRPr="00CD32FD">
        <w:rPr>
          <w:lang w:val="en-CA"/>
        </w:rPr>
        <w:t xml:space="preserve">, </w:t>
      </w:r>
      <w:r w:rsidRPr="00CD32FD">
        <w:rPr>
          <w:i/>
          <w:iCs/>
          <w:lang w:val="en-CA"/>
        </w:rPr>
        <w:t>23</w:t>
      </w:r>
      <w:r w:rsidRPr="00CD32FD">
        <w:rPr>
          <w:lang w:val="en-CA"/>
        </w:rPr>
        <w:t>(1), 1–18. https://doi.org/10.1007/S11852-018-0632-Y/TABLES/3</w:t>
      </w:r>
    </w:p>
    <w:p w14:paraId="62743732" w14:textId="77777777" w:rsidR="00CA4CC2" w:rsidRPr="00A55275" w:rsidRDefault="00CA4CC2" w:rsidP="000C53BC">
      <w:pPr>
        <w:spacing w:line="480" w:lineRule="auto"/>
        <w:ind w:firstLine="0"/>
      </w:pPr>
      <w:r w:rsidRPr="00A55275">
        <w:t>Province of British Columbia. (2016).</w:t>
      </w:r>
      <w:r w:rsidRPr="00A55275">
        <w:rPr>
          <w:i/>
          <w:iCs/>
        </w:rPr>
        <w:t xml:space="preserve"> Water Sustainability Act</w:t>
      </w:r>
      <w:r w:rsidRPr="00A55275">
        <w:t xml:space="preserve">, (testimony of Province of British </w:t>
      </w:r>
      <w:r w:rsidRPr="00A55275">
        <w:tab/>
        <w:t>Columbia). https://www.bclaws.gov.bc.ca/civix/document/id/complete/statreg/36_2016</w:t>
      </w:r>
    </w:p>
    <w:p w14:paraId="1F765D0C"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Province of British Columbia. (</w:t>
      </w:r>
      <w:proofErr w:type="spellStart"/>
      <w:r w:rsidRPr="00A55275">
        <w:rPr>
          <w:color w:val="000000" w:themeColor="text1"/>
          <w:szCs w:val="22"/>
        </w:rPr>
        <w:t>n.d.a</w:t>
      </w:r>
      <w:proofErr w:type="spellEnd"/>
      <w:r w:rsidRPr="00A55275">
        <w:rPr>
          <w:color w:val="000000" w:themeColor="text1"/>
          <w:szCs w:val="22"/>
        </w:rPr>
        <w:t xml:space="preserve">). </w:t>
      </w:r>
      <w:r w:rsidRPr="00A55275">
        <w:rPr>
          <w:i/>
          <w:iCs/>
          <w:color w:val="000000" w:themeColor="text1"/>
          <w:szCs w:val="22"/>
        </w:rPr>
        <w:t xml:space="preserve">First Nations in Treaty </w:t>
      </w:r>
      <w:proofErr w:type="gramStart"/>
      <w:r w:rsidRPr="00A55275">
        <w:rPr>
          <w:i/>
          <w:iCs/>
          <w:color w:val="000000" w:themeColor="text1"/>
          <w:szCs w:val="22"/>
        </w:rPr>
        <w:t xml:space="preserve">Process </w:t>
      </w:r>
      <w:r w:rsidRPr="00A55275">
        <w:rPr>
          <w:color w:val="000000" w:themeColor="text1"/>
          <w:szCs w:val="22"/>
        </w:rPr>
        <w:t>.</w:t>
      </w:r>
      <w:proofErr w:type="gramEnd"/>
      <w:r w:rsidRPr="00A55275">
        <w:rPr>
          <w:color w:val="000000" w:themeColor="text1"/>
          <w:szCs w:val="22"/>
        </w:rPr>
        <w:t xml:space="preserve"> Gov.Bc.Ca. Retrieved November 5, 2022, from </w:t>
      </w:r>
      <w:proofErr w:type="gramStart"/>
      <w:r w:rsidRPr="00A55275">
        <w:rPr>
          <w:color w:val="000000" w:themeColor="text1"/>
          <w:szCs w:val="22"/>
        </w:rPr>
        <w:t>https://www2.gov.bc.ca/gov/content/environment/natural-resource-stewardship/consulting-with-first-nations/first-nations-negotiations/first-nations-in-treaty-process</w:t>
      </w:r>
      <w:proofErr w:type="gramEnd"/>
    </w:p>
    <w:p w14:paraId="1ADC5C18"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Province of British Columbia. (</w:t>
      </w:r>
      <w:proofErr w:type="spellStart"/>
      <w:r w:rsidRPr="00A55275">
        <w:rPr>
          <w:color w:val="000000" w:themeColor="text1"/>
          <w:szCs w:val="22"/>
        </w:rPr>
        <w:t>n.d.b</w:t>
      </w:r>
      <w:proofErr w:type="spellEnd"/>
      <w:r w:rsidRPr="00A55275">
        <w:rPr>
          <w:color w:val="000000" w:themeColor="text1"/>
          <w:szCs w:val="22"/>
        </w:rPr>
        <w:t xml:space="preserve">). </w:t>
      </w:r>
      <w:r w:rsidRPr="00A55275">
        <w:rPr>
          <w:i/>
          <w:iCs/>
          <w:color w:val="000000" w:themeColor="text1"/>
          <w:szCs w:val="22"/>
        </w:rPr>
        <w:t xml:space="preserve">History of Treaties in </w:t>
      </w:r>
      <w:proofErr w:type="gramStart"/>
      <w:r w:rsidRPr="00A55275">
        <w:rPr>
          <w:i/>
          <w:iCs/>
          <w:color w:val="000000" w:themeColor="text1"/>
          <w:szCs w:val="22"/>
        </w:rPr>
        <w:t xml:space="preserve">B.C. </w:t>
      </w:r>
      <w:r w:rsidRPr="00A55275">
        <w:rPr>
          <w:color w:val="000000" w:themeColor="text1"/>
          <w:szCs w:val="22"/>
        </w:rPr>
        <w:t>.</w:t>
      </w:r>
      <w:proofErr w:type="gramEnd"/>
      <w:r w:rsidRPr="00A55275">
        <w:rPr>
          <w:color w:val="000000" w:themeColor="text1"/>
          <w:szCs w:val="22"/>
        </w:rPr>
        <w:t xml:space="preserve"> Gov.Bc.Ca. Retrieved November 5, 2022, from </w:t>
      </w:r>
      <w:proofErr w:type="gramStart"/>
      <w:r w:rsidRPr="00A55275">
        <w:rPr>
          <w:color w:val="000000" w:themeColor="text1"/>
          <w:szCs w:val="22"/>
        </w:rPr>
        <w:t>https://www2.gov.bc.ca/gov/content/environment/natural-resource-stewardship/consulting-with-first-nations/first-nations-negotiations/about-first-nations-treaty-process/history-of-treaties-in-bc</w:t>
      </w:r>
      <w:proofErr w:type="gramEnd"/>
    </w:p>
    <w:p w14:paraId="12C5CA2E"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lastRenderedPageBreak/>
        <w:t>Province of British Columbia. (</w:t>
      </w:r>
      <w:proofErr w:type="spellStart"/>
      <w:r w:rsidRPr="00A55275">
        <w:rPr>
          <w:color w:val="000000" w:themeColor="text1"/>
          <w:szCs w:val="22"/>
        </w:rPr>
        <w:t>n.d.c</w:t>
      </w:r>
      <w:proofErr w:type="spellEnd"/>
      <w:r w:rsidRPr="00A55275">
        <w:rPr>
          <w:color w:val="000000" w:themeColor="text1"/>
          <w:szCs w:val="22"/>
        </w:rPr>
        <w:t xml:space="preserve">). </w:t>
      </w:r>
      <w:r w:rsidRPr="00A55275">
        <w:rPr>
          <w:i/>
          <w:iCs/>
          <w:color w:val="000000" w:themeColor="text1"/>
          <w:szCs w:val="22"/>
        </w:rPr>
        <w:t xml:space="preserve">Laws &amp; </w:t>
      </w:r>
      <w:proofErr w:type="gramStart"/>
      <w:r w:rsidRPr="00A55275">
        <w:rPr>
          <w:i/>
          <w:iCs/>
          <w:color w:val="000000" w:themeColor="text1"/>
          <w:szCs w:val="22"/>
        </w:rPr>
        <w:t xml:space="preserve">Rules </w:t>
      </w:r>
      <w:r w:rsidRPr="00A55275">
        <w:rPr>
          <w:color w:val="000000" w:themeColor="text1"/>
          <w:szCs w:val="22"/>
        </w:rPr>
        <w:t>.</w:t>
      </w:r>
      <w:proofErr w:type="gramEnd"/>
      <w:r w:rsidRPr="00A55275">
        <w:rPr>
          <w:color w:val="000000" w:themeColor="text1"/>
          <w:szCs w:val="22"/>
        </w:rPr>
        <w:t xml:space="preserve"> Gov.Bc.Ca. Retrieved November 5, 2022, from https://www2.gov.bc.ca/gov/content/environment/air-land-water/water/laws-rules#:~:text=The%20Environmental%20Management%20Act%20(EMA,public%20health%20and%20the%20environment.</w:t>
      </w:r>
    </w:p>
    <w:p w14:paraId="55605BE4" w14:textId="48604830" w:rsidR="00CA4CC2" w:rsidRPr="00C3188D" w:rsidRDefault="00CA4CC2" w:rsidP="000C53BC">
      <w:pPr>
        <w:pStyle w:val="NormalWeb"/>
        <w:spacing w:line="480" w:lineRule="auto"/>
        <w:ind w:left="480" w:hanging="480"/>
        <w:rPr>
          <w:szCs w:val="22"/>
        </w:rPr>
      </w:pPr>
      <w:r w:rsidRPr="000740AA">
        <w:rPr>
          <w:szCs w:val="22"/>
        </w:rPr>
        <w:t xml:space="preserve">Raworth, K. (2017). A Doughnut for the Anthropocene: humanity’s compass in the 21st century. </w:t>
      </w:r>
      <w:r w:rsidRPr="000740AA">
        <w:rPr>
          <w:i/>
          <w:iCs/>
          <w:szCs w:val="22"/>
        </w:rPr>
        <w:t>The Lancet Planetary Health</w:t>
      </w:r>
      <w:r w:rsidRPr="000740AA">
        <w:rPr>
          <w:szCs w:val="22"/>
        </w:rPr>
        <w:t xml:space="preserve">, </w:t>
      </w:r>
      <w:r w:rsidRPr="000740AA">
        <w:rPr>
          <w:i/>
          <w:iCs/>
          <w:szCs w:val="22"/>
        </w:rPr>
        <w:t>1</w:t>
      </w:r>
      <w:r w:rsidRPr="000740AA">
        <w:rPr>
          <w:szCs w:val="22"/>
        </w:rPr>
        <w:t>(2), e48–e49. https://doi.org/10.1016/S2542-5196(17)30028-1/ATTACHMENT/2D58FDAE-741C-4016-84CD-2FC0B1E94F49/MMC1.PDF</w:t>
      </w:r>
    </w:p>
    <w:p w14:paraId="06E5B615" w14:textId="30BE415D" w:rsidR="00CA4CC2" w:rsidRPr="00A55275" w:rsidRDefault="00CA4CC2" w:rsidP="000C53BC">
      <w:pPr>
        <w:spacing w:line="480" w:lineRule="auto"/>
        <w:ind w:firstLine="0"/>
        <w:rPr>
          <w:color w:val="000000" w:themeColor="text1"/>
        </w:rPr>
      </w:pPr>
      <w:r w:rsidRPr="00A55275">
        <w:rPr>
          <w:color w:val="000000" w:themeColor="text1"/>
        </w:rPr>
        <w:t>Ray JC, Grimm J, and Olive A. (2021). The biodiversity crisis in Canada: failures and challenges</w:t>
      </w:r>
      <w:r w:rsidRPr="00A55275">
        <w:rPr>
          <w:color w:val="000000" w:themeColor="text1"/>
        </w:rPr>
        <w:tab/>
      </w:r>
      <w:r w:rsidRPr="00A55275">
        <w:rPr>
          <w:color w:val="000000" w:themeColor="text1"/>
        </w:rPr>
        <w:tab/>
        <w:t xml:space="preserve"> of federal and subnational strategic and legal frameworks. FACETS 6: 1044–1068. </w:t>
      </w:r>
      <w:r w:rsidRPr="00A55275">
        <w:rPr>
          <w:color w:val="000000" w:themeColor="text1"/>
        </w:rPr>
        <w:tab/>
        <w:t>doi:10.1139/facets2020-0075</w:t>
      </w:r>
    </w:p>
    <w:p w14:paraId="3586ECEA" w14:textId="77777777" w:rsidR="00CA4CC2" w:rsidRPr="00B049B2" w:rsidRDefault="00CA4CC2" w:rsidP="000C53BC">
      <w:pPr>
        <w:pStyle w:val="NormalWeb"/>
        <w:spacing w:line="480" w:lineRule="auto"/>
        <w:ind w:left="480" w:hanging="480"/>
        <w:rPr>
          <w:szCs w:val="22"/>
        </w:rPr>
      </w:pPr>
      <w:r w:rsidRPr="00B049B2">
        <w:rPr>
          <w:szCs w:val="22"/>
        </w:rPr>
        <w:t xml:space="preserve">Rosenberg, K. V., </w:t>
      </w:r>
      <w:proofErr w:type="spellStart"/>
      <w:r w:rsidRPr="00B049B2">
        <w:rPr>
          <w:szCs w:val="22"/>
        </w:rPr>
        <w:t>Dokter</w:t>
      </w:r>
      <w:proofErr w:type="spellEnd"/>
      <w:r w:rsidRPr="00B049B2">
        <w:rPr>
          <w:szCs w:val="22"/>
        </w:rPr>
        <w:t xml:space="preserve">, A. M., Blancher, P. J., Sauer, J. R., Smith, A. C., Smith, P. A., Stanton, J. C., Panjabi, A., </w:t>
      </w:r>
      <w:proofErr w:type="spellStart"/>
      <w:r w:rsidRPr="00B049B2">
        <w:rPr>
          <w:szCs w:val="22"/>
        </w:rPr>
        <w:t>Helft</w:t>
      </w:r>
      <w:proofErr w:type="spellEnd"/>
      <w:r w:rsidRPr="00B049B2">
        <w:rPr>
          <w:szCs w:val="22"/>
        </w:rPr>
        <w:t xml:space="preserve">, L., Parr, M., &amp; </w:t>
      </w:r>
      <w:proofErr w:type="spellStart"/>
      <w:r w:rsidRPr="00B049B2">
        <w:rPr>
          <w:szCs w:val="22"/>
        </w:rPr>
        <w:t>Marra</w:t>
      </w:r>
      <w:proofErr w:type="spellEnd"/>
      <w:r w:rsidRPr="00B049B2">
        <w:rPr>
          <w:szCs w:val="22"/>
        </w:rPr>
        <w:t xml:space="preserve">, P. P. (2019). Decline of the North American avifauna. </w:t>
      </w:r>
      <w:r w:rsidRPr="00B049B2">
        <w:rPr>
          <w:i/>
          <w:iCs/>
          <w:szCs w:val="22"/>
        </w:rPr>
        <w:t>Science</w:t>
      </w:r>
      <w:r w:rsidRPr="00B049B2">
        <w:rPr>
          <w:szCs w:val="22"/>
        </w:rPr>
        <w:t xml:space="preserve">, </w:t>
      </w:r>
      <w:r w:rsidRPr="00B049B2">
        <w:rPr>
          <w:i/>
          <w:iCs/>
          <w:szCs w:val="22"/>
        </w:rPr>
        <w:t>366</w:t>
      </w:r>
      <w:r w:rsidRPr="00B049B2">
        <w:rPr>
          <w:szCs w:val="22"/>
        </w:rPr>
        <w:t>(6461), 120–124. https://doi.org/10.1126/SCIENCE.AAW1313/SUPPL_FILE/PAPV2.PDF</w:t>
      </w:r>
    </w:p>
    <w:p w14:paraId="143BAA12" w14:textId="77777777" w:rsidR="00CA4CC2" w:rsidRPr="00A55275" w:rsidRDefault="00CA4CC2" w:rsidP="000C53BC">
      <w:pPr>
        <w:pStyle w:val="NormalWeb"/>
        <w:spacing w:line="480" w:lineRule="auto"/>
        <w:ind w:left="480" w:hanging="480"/>
        <w:rPr>
          <w:szCs w:val="22"/>
        </w:rPr>
      </w:pPr>
      <w:r w:rsidRPr="00A55275">
        <w:rPr>
          <w:rStyle w:val="author"/>
          <w:rFonts w:ascii="Calibri" w:hAnsi="Calibri" w:cs="Calibri"/>
          <w:color w:val="000000" w:themeColor="text1"/>
          <w:szCs w:val="22"/>
          <w:shd w:val="clear" w:color="auto" w:fill="FFFFFF"/>
        </w:rPr>
        <w:t>﻿</w:t>
      </w:r>
      <w:r w:rsidRPr="00A55275">
        <w:rPr>
          <w:szCs w:val="22"/>
        </w:rPr>
        <w:t xml:space="preserve"> Ruane, S. (2019). Applying the principles of adaptive governance to bushfire management: a case study from the </w:t>
      </w:r>
      <w:proofErr w:type="gramStart"/>
      <w:r w:rsidRPr="00A55275">
        <w:rPr>
          <w:szCs w:val="22"/>
        </w:rPr>
        <w:t>South West</w:t>
      </w:r>
      <w:proofErr w:type="gramEnd"/>
      <w:r w:rsidRPr="00A55275">
        <w:rPr>
          <w:szCs w:val="22"/>
        </w:rPr>
        <w:t xml:space="preserve"> of Australia. </w:t>
      </w:r>
      <w:r w:rsidRPr="00A55275">
        <w:rPr>
          <w:i/>
          <w:iCs/>
          <w:szCs w:val="22"/>
        </w:rPr>
        <w:t>Https://Doi.Org/10.1080/09640568.2019.1648243</w:t>
      </w:r>
      <w:r w:rsidRPr="00A55275">
        <w:rPr>
          <w:szCs w:val="22"/>
        </w:rPr>
        <w:t xml:space="preserve">, </w:t>
      </w:r>
      <w:r w:rsidRPr="00A55275">
        <w:rPr>
          <w:i/>
          <w:iCs/>
          <w:szCs w:val="22"/>
        </w:rPr>
        <w:t>63</w:t>
      </w:r>
      <w:r w:rsidRPr="00A55275">
        <w:rPr>
          <w:szCs w:val="22"/>
        </w:rPr>
        <w:t>(7), 1215–1240. https://doi.org/10.1080/09640568.2019.1648243</w:t>
      </w:r>
    </w:p>
    <w:p w14:paraId="01938B8E" w14:textId="66F8365F" w:rsidR="00CA4CC2" w:rsidRPr="00A55275" w:rsidRDefault="00CA4CC2" w:rsidP="000C53BC">
      <w:pPr>
        <w:spacing w:line="480" w:lineRule="auto"/>
        <w:ind w:firstLine="0"/>
        <w:rPr>
          <w:rStyle w:val="author"/>
          <w:color w:val="000000" w:themeColor="text1"/>
          <w:shd w:val="clear" w:color="auto" w:fill="FFFFFF"/>
        </w:rPr>
      </w:pPr>
      <w:r w:rsidRPr="00A55275">
        <w:rPr>
          <w:rStyle w:val="author"/>
          <w:color w:val="000000" w:themeColor="text1"/>
          <w:shd w:val="clear" w:color="auto" w:fill="FFFFFF"/>
        </w:rPr>
        <w:t xml:space="preserve">Schmidt L, </w:t>
      </w:r>
      <w:proofErr w:type="spellStart"/>
      <w:r w:rsidRPr="00A55275">
        <w:rPr>
          <w:rStyle w:val="author"/>
          <w:color w:val="000000" w:themeColor="text1"/>
          <w:shd w:val="clear" w:color="auto" w:fill="FFFFFF"/>
        </w:rPr>
        <w:t>Prista</w:t>
      </w:r>
      <w:proofErr w:type="spellEnd"/>
      <w:r w:rsidRPr="00A55275">
        <w:rPr>
          <w:rStyle w:val="author"/>
          <w:color w:val="000000" w:themeColor="text1"/>
          <w:shd w:val="clear" w:color="auto" w:fill="FFFFFF"/>
        </w:rPr>
        <w:t xml:space="preserve"> P, Saraiva T, </w:t>
      </w:r>
      <w:proofErr w:type="spellStart"/>
      <w:r w:rsidRPr="00A55275">
        <w:rPr>
          <w:rStyle w:val="author"/>
          <w:color w:val="000000" w:themeColor="text1"/>
          <w:shd w:val="clear" w:color="auto" w:fill="FFFFFF"/>
        </w:rPr>
        <w:t>O’Riordan</w:t>
      </w:r>
      <w:proofErr w:type="spellEnd"/>
      <w:r w:rsidRPr="00A55275">
        <w:rPr>
          <w:rStyle w:val="author"/>
          <w:color w:val="000000" w:themeColor="text1"/>
          <w:shd w:val="clear" w:color="auto" w:fill="FFFFFF"/>
        </w:rPr>
        <w:t xml:space="preserve"> T, Gomes C (2013) Adapting governance for coastal </w:t>
      </w:r>
      <w:r w:rsidRPr="00A55275">
        <w:rPr>
          <w:rStyle w:val="author"/>
          <w:color w:val="000000" w:themeColor="text1"/>
          <w:shd w:val="clear" w:color="auto" w:fill="FFFFFF"/>
        </w:rPr>
        <w:tab/>
        <w:t xml:space="preserve">change in Portugal. Land Use Policy 31:314–325. </w:t>
      </w:r>
      <w:r w:rsidRPr="00C3188D">
        <w:rPr>
          <w:shd w:val="clear" w:color="auto" w:fill="FFFFFF"/>
        </w:rPr>
        <w:t>https://doi.org/10.1016/j.landu</w:t>
      </w:r>
      <w:r w:rsidRPr="00A55275">
        <w:rPr>
          <w:rStyle w:val="author"/>
          <w:color w:val="000000" w:themeColor="text1"/>
          <w:shd w:val="clear" w:color="auto" w:fill="FFFFFF"/>
        </w:rPr>
        <w:t xml:space="preserve"> </w:t>
      </w:r>
      <w:r w:rsidRPr="00A55275">
        <w:rPr>
          <w:rStyle w:val="author"/>
          <w:color w:val="000000" w:themeColor="text1"/>
          <w:shd w:val="clear" w:color="auto" w:fill="FFFFFF"/>
        </w:rPr>
        <w:tab/>
        <w:t>sepol.2012.07.012</w:t>
      </w:r>
    </w:p>
    <w:p w14:paraId="61CD01B9" w14:textId="65839A1B" w:rsidR="00CA4CC2" w:rsidRPr="00C3188D" w:rsidRDefault="00CA4CC2" w:rsidP="000C53BC">
      <w:pPr>
        <w:pStyle w:val="NormalWeb"/>
        <w:spacing w:line="480" w:lineRule="auto"/>
        <w:ind w:left="480" w:hanging="480"/>
        <w:rPr>
          <w:rStyle w:val="author"/>
          <w:szCs w:val="22"/>
        </w:rPr>
      </w:pPr>
      <w:r w:rsidRPr="00A55275">
        <w:rPr>
          <w:szCs w:val="22"/>
        </w:rPr>
        <w:lastRenderedPageBreak/>
        <w:t xml:space="preserve">Seddon, N., Chausson, A., Berry, P., Girardin, C. A. J., Smith, A., &amp; Turner, B. (2020). Understanding the value and limits of nature-based solutions to climate change and other global challenges. </w:t>
      </w:r>
      <w:r w:rsidRPr="00A55275">
        <w:rPr>
          <w:i/>
          <w:iCs/>
          <w:szCs w:val="22"/>
        </w:rPr>
        <w:t>Philosophical Transactions of the Royal Society B</w:t>
      </w:r>
      <w:r w:rsidRPr="00A55275">
        <w:rPr>
          <w:szCs w:val="22"/>
        </w:rPr>
        <w:t xml:space="preserve">, </w:t>
      </w:r>
      <w:r w:rsidRPr="00A55275">
        <w:rPr>
          <w:i/>
          <w:iCs/>
          <w:szCs w:val="22"/>
        </w:rPr>
        <w:t>375</w:t>
      </w:r>
      <w:r w:rsidRPr="00A55275">
        <w:rPr>
          <w:szCs w:val="22"/>
        </w:rPr>
        <w:t>(1794). https://doi.org/10.1098/RSTB.2019.0120</w:t>
      </w:r>
    </w:p>
    <w:p w14:paraId="10C81061" w14:textId="3B29E189" w:rsidR="00CA4CC2" w:rsidRDefault="00CA4CC2" w:rsidP="000C53BC">
      <w:pPr>
        <w:spacing w:line="480" w:lineRule="auto"/>
        <w:ind w:firstLine="0"/>
        <w:rPr>
          <w:color w:val="000000" w:themeColor="text1"/>
        </w:rPr>
      </w:pPr>
      <w:proofErr w:type="spellStart"/>
      <w:r w:rsidRPr="00A55275">
        <w:rPr>
          <w:rStyle w:val="author"/>
          <w:color w:val="000000" w:themeColor="text1"/>
          <w:shd w:val="clear" w:color="auto" w:fill="FFFFFF"/>
        </w:rPr>
        <w:t>Seto</w:t>
      </w:r>
      <w:proofErr w:type="spellEnd"/>
      <w:r w:rsidRPr="00A55275">
        <w:rPr>
          <w:rStyle w:val="author"/>
          <w:color w:val="000000" w:themeColor="text1"/>
          <w:shd w:val="clear" w:color="auto" w:fill="FFFFFF"/>
        </w:rPr>
        <w:t>, K. C.</w:t>
      </w:r>
      <w:r w:rsidRPr="00A55275">
        <w:rPr>
          <w:color w:val="000000" w:themeColor="text1"/>
          <w:shd w:val="clear" w:color="auto" w:fill="FFFFFF"/>
        </w:rPr>
        <w:t>, </w:t>
      </w:r>
      <w:proofErr w:type="spellStart"/>
      <w:r w:rsidRPr="00A55275">
        <w:rPr>
          <w:rStyle w:val="author"/>
          <w:color w:val="000000" w:themeColor="text1"/>
          <w:shd w:val="clear" w:color="auto" w:fill="FFFFFF"/>
        </w:rPr>
        <w:t>Güneralp</w:t>
      </w:r>
      <w:proofErr w:type="spellEnd"/>
      <w:r w:rsidRPr="00A55275">
        <w:rPr>
          <w:rStyle w:val="author"/>
          <w:color w:val="000000" w:themeColor="text1"/>
          <w:shd w:val="clear" w:color="auto" w:fill="FFFFFF"/>
        </w:rPr>
        <w:t>, B.</w:t>
      </w:r>
      <w:r w:rsidRPr="00A55275">
        <w:rPr>
          <w:color w:val="000000" w:themeColor="text1"/>
          <w:shd w:val="clear" w:color="auto" w:fill="FFFFFF"/>
        </w:rPr>
        <w:t>, &amp; </w:t>
      </w:r>
      <w:proofErr w:type="spellStart"/>
      <w:r w:rsidRPr="00A55275">
        <w:rPr>
          <w:rStyle w:val="author"/>
          <w:color w:val="000000" w:themeColor="text1"/>
          <w:shd w:val="clear" w:color="auto" w:fill="FFFFFF"/>
        </w:rPr>
        <w:t>Hutyra</w:t>
      </w:r>
      <w:proofErr w:type="spellEnd"/>
      <w:r w:rsidRPr="00A55275">
        <w:rPr>
          <w:rStyle w:val="author"/>
          <w:color w:val="000000" w:themeColor="text1"/>
          <w:shd w:val="clear" w:color="auto" w:fill="FFFFFF"/>
        </w:rPr>
        <w:t>, L. R.</w:t>
      </w:r>
      <w:r w:rsidRPr="00A55275">
        <w:rPr>
          <w:color w:val="000000" w:themeColor="text1"/>
          <w:shd w:val="clear" w:color="auto" w:fill="FFFFFF"/>
        </w:rPr>
        <w:t> (</w:t>
      </w:r>
      <w:r w:rsidRPr="00A55275">
        <w:rPr>
          <w:rStyle w:val="pubyear"/>
          <w:color w:val="000000" w:themeColor="text1"/>
          <w:shd w:val="clear" w:color="auto" w:fill="FFFFFF"/>
        </w:rPr>
        <w:t>2012</w:t>
      </w:r>
      <w:r w:rsidRPr="00A55275">
        <w:rPr>
          <w:color w:val="000000" w:themeColor="text1"/>
          <w:shd w:val="clear" w:color="auto" w:fill="FFFFFF"/>
        </w:rPr>
        <w:t>). </w:t>
      </w:r>
      <w:r w:rsidRPr="00A55275">
        <w:rPr>
          <w:rStyle w:val="articletitle"/>
          <w:color w:val="000000" w:themeColor="text1"/>
          <w:shd w:val="clear" w:color="auto" w:fill="FFFFFF"/>
        </w:rPr>
        <w:t xml:space="preserve">Global forecasts of urban expansion to 2030 </w:t>
      </w:r>
      <w:r w:rsidRPr="00A55275">
        <w:rPr>
          <w:rStyle w:val="articletitle"/>
          <w:color w:val="000000" w:themeColor="text1"/>
          <w:shd w:val="clear" w:color="auto" w:fill="FFFFFF"/>
        </w:rPr>
        <w:tab/>
        <w:t>and direct impacts on biodiversity and carbon pools</w:t>
      </w:r>
      <w:r w:rsidRPr="00A55275">
        <w:rPr>
          <w:color w:val="000000" w:themeColor="text1"/>
          <w:shd w:val="clear" w:color="auto" w:fill="FFFFFF"/>
        </w:rPr>
        <w:t>. </w:t>
      </w:r>
      <w:r w:rsidRPr="00A55275">
        <w:rPr>
          <w:i/>
          <w:iCs/>
          <w:color w:val="000000" w:themeColor="text1"/>
          <w:shd w:val="clear" w:color="auto" w:fill="FFFFFF"/>
        </w:rPr>
        <w:t xml:space="preserve">Proceedings of the National </w:t>
      </w:r>
      <w:r w:rsidRPr="00A55275">
        <w:rPr>
          <w:i/>
          <w:iCs/>
          <w:color w:val="000000" w:themeColor="text1"/>
          <w:shd w:val="clear" w:color="auto" w:fill="FFFFFF"/>
        </w:rPr>
        <w:tab/>
        <w:t>Academy of Sciences</w:t>
      </w:r>
      <w:r w:rsidRPr="00A55275">
        <w:rPr>
          <w:color w:val="000000" w:themeColor="text1"/>
          <w:shd w:val="clear" w:color="auto" w:fill="FFFFFF"/>
        </w:rPr>
        <w:t>, </w:t>
      </w:r>
      <w:r w:rsidRPr="00A55275">
        <w:rPr>
          <w:rStyle w:val="vol"/>
          <w:b/>
          <w:bCs/>
          <w:color w:val="000000" w:themeColor="text1"/>
          <w:shd w:val="clear" w:color="auto" w:fill="FFFFFF"/>
        </w:rPr>
        <w:t>109</w:t>
      </w:r>
      <w:r w:rsidRPr="00A55275">
        <w:rPr>
          <w:color w:val="000000" w:themeColor="text1"/>
          <w:shd w:val="clear" w:color="auto" w:fill="FFFFFF"/>
        </w:rPr>
        <w:t>, </w:t>
      </w:r>
      <w:r w:rsidRPr="00A55275">
        <w:rPr>
          <w:rStyle w:val="pagefirst"/>
          <w:color w:val="000000" w:themeColor="text1"/>
          <w:shd w:val="clear" w:color="auto" w:fill="FFFFFF"/>
        </w:rPr>
        <w:t>16083</w:t>
      </w:r>
      <w:r w:rsidRPr="00A55275">
        <w:rPr>
          <w:color w:val="000000" w:themeColor="text1"/>
          <w:shd w:val="clear" w:color="auto" w:fill="FFFFFF"/>
        </w:rPr>
        <w:t>– </w:t>
      </w:r>
      <w:r w:rsidRPr="00A55275">
        <w:rPr>
          <w:rStyle w:val="pagelast"/>
          <w:color w:val="000000" w:themeColor="text1"/>
          <w:shd w:val="clear" w:color="auto" w:fill="FFFFFF"/>
        </w:rPr>
        <w:t>16088</w:t>
      </w:r>
      <w:r w:rsidRPr="00A55275">
        <w:rPr>
          <w:color w:val="000000" w:themeColor="text1"/>
          <w:shd w:val="clear" w:color="auto" w:fill="FFFFFF"/>
        </w:rPr>
        <w:t xml:space="preserve">. Available </w:t>
      </w:r>
      <w:r w:rsidRPr="00A55275">
        <w:rPr>
          <w:color w:val="000000" w:themeColor="text1"/>
          <w:shd w:val="clear" w:color="auto" w:fill="FFFFFF"/>
        </w:rPr>
        <w:tab/>
        <w:t>from. </w:t>
      </w:r>
      <w:r w:rsidRPr="00C3188D">
        <w:rPr>
          <w:shd w:val="clear" w:color="auto" w:fill="FFFFFF"/>
        </w:rPr>
        <w:t>http://www.pnas.org/content/109/40/16083.abstract</w:t>
      </w:r>
    </w:p>
    <w:p w14:paraId="66292643" w14:textId="77777777" w:rsidR="00CA4CC2" w:rsidRPr="009F6F90" w:rsidRDefault="00CA4CC2" w:rsidP="000C53BC">
      <w:pPr>
        <w:pStyle w:val="NormalWeb"/>
        <w:spacing w:line="480" w:lineRule="auto"/>
        <w:ind w:left="480" w:hanging="480"/>
        <w:rPr>
          <w:sz w:val="23"/>
          <w:szCs w:val="23"/>
        </w:rPr>
      </w:pPr>
      <w:r w:rsidRPr="00A55275">
        <w:rPr>
          <w:sz w:val="23"/>
          <w:szCs w:val="23"/>
        </w:rPr>
        <w:t xml:space="preserve">Sharma-Wallace, L., Velarde, S. J., &amp; Wreford, A. (2018). </w:t>
      </w:r>
      <w:r w:rsidRPr="009F6F90">
        <w:rPr>
          <w:sz w:val="23"/>
          <w:szCs w:val="23"/>
        </w:rPr>
        <w:t xml:space="preserve">Adaptive governance good practice: Show me the evidence! </w:t>
      </w:r>
      <w:r w:rsidRPr="009F6F90">
        <w:rPr>
          <w:i/>
          <w:iCs/>
          <w:sz w:val="23"/>
          <w:szCs w:val="23"/>
        </w:rPr>
        <w:t>Journal of Environmental Management</w:t>
      </w:r>
      <w:r w:rsidRPr="009F6F90">
        <w:rPr>
          <w:sz w:val="23"/>
          <w:szCs w:val="23"/>
        </w:rPr>
        <w:t xml:space="preserve">, </w:t>
      </w:r>
      <w:r w:rsidRPr="009F6F90">
        <w:rPr>
          <w:i/>
          <w:iCs/>
          <w:sz w:val="23"/>
          <w:szCs w:val="23"/>
        </w:rPr>
        <w:t>222</w:t>
      </w:r>
      <w:r w:rsidRPr="009F6F90">
        <w:rPr>
          <w:sz w:val="23"/>
          <w:szCs w:val="23"/>
        </w:rPr>
        <w:t>, 174–184. https://doi.org/10.1016/J.JENVMAN.2018.05.067</w:t>
      </w:r>
    </w:p>
    <w:p w14:paraId="53ADCE0D" w14:textId="77777777" w:rsidR="00CA4CC2" w:rsidRPr="009F6F90" w:rsidRDefault="00CA4CC2" w:rsidP="000C53BC">
      <w:pPr>
        <w:spacing w:line="480" w:lineRule="auto"/>
        <w:ind w:firstLine="0"/>
        <w:rPr>
          <w:sz w:val="23"/>
          <w:szCs w:val="23"/>
        </w:rPr>
      </w:pPr>
      <w:r w:rsidRPr="009F6F90">
        <w:rPr>
          <w:sz w:val="23"/>
          <w:szCs w:val="23"/>
        </w:rPr>
        <w:t xml:space="preserve">Simons, H. (2009). Case study research in practice. London, England: Sage. </w:t>
      </w:r>
    </w:p>
    <w:p w14:paraId="4DC6B046" w14:textId="77777777" w:rsidR="00CA4CC2" w:rsidRPr="0072342F" w:rsidRDefault="00CA4CC2" w:rsidP="000C53BC">
      <w:pPr>
        <w:pStyle w:val="NormalWeb"/>
        <w:spacing w:line="480" w:lineRule="auto"/>
        <w:ind w:left="480" w:hanging="480"/>
      </w:pPr>
      <w:r>
        <w:t xml:space="preserve">Simons, H. (2020). Case Study Research: In-Depth Understanding in Context. </w:t>
      </w:r>
      <w:r>
        <w:rPr>
          <w:i/>
          <w:iCs/>
        </w:rPr>
        <w:t>The Oxford Handbook of Qualitative Research</w:t>
      </w:r>
      <w:r>
        <w:t>, 677–703. https://doi.org/10.1093/OXFORDHB/9780190847388.013.29</w:t>
      </w:r>
    </w:p>
    <w:p w14:paraId="7A9431ED" w14:textId="5F4F968A" w:rsidR="00CA4CC2" w:rsidRPr="00C3188D" w:rsidRDefault="00CA4CC2" w:rsidP="000C53BC">
      <w:pPr>
        <w:spacing w:line="480" w:lineRule="auto"/>
        <w:ind w:firstLine="0"/>
        <w:rPr>
          <w:sz w:val="23"/>
          <w:szCs w:val="23"/>
        </w:rPr>
      </w:pPr>
      <w:r w:rsidRPr="009F6F90">
        <w:rPr>
          <w:sz w:val="23"/>
          <w:szCs w:val="23"/>
        </w:rPr>
        <w:t>Stake, R. (1995). The art of case study research (pp. 49-68). Thousand Oaks, CA: Sage.</w:t>
      </w:r>
    </w:p>
    <w:p w14:paraId="224C3D85" w14:textId="77777777" w:rsidR="00CA4CC2" w:rsidRPr="00A55275" w:rsidRDefault="00CA4CC2" w:rsidP="000C53BC">
      <w:pPr>
        <w:pStyle w:val="NormalWeb"/>
        <w:spacing w:line="480" w:lineRule="auto"/>
        <w:ind w:left="480" w:hanging="480"/>
        <w:rPr>
          <w:color w:val="000000" w:themeColor="text1"/>
          <w:szCs w:val="22"/>
        </w:rPr>
      </w:pPr>
      <w:r w:rsidRPr="00A55275">
        <w:rPr>
          <w:rFonts w:ascii="Calibri" w:hAnsi="Calibri" w:cs="Calibri"/>
          <w:color w:val="000000" w:themeColor="text1"/>
          <w:szCs w:val="22"/>
        </w:rPr>
        <w:t>﻿</w:t>
      </w:r>
      <w:r w:rsidRPr="00A55275">
        <w:rPr>
          <w:color w:val="000000" w:themeColor="text1"/>
          <w:szCs w:val="22"/>
        </w:rPr>
        <w:t xml:space="preserve"> </w:t>
      </w:r>
      <w:proofErr w:type="spellStart"/>
      <w:r w:rsidRPr="00A55275">
        <w:rPr>
          <w:color w:val="000000" w:themeColor="text1"/>
          <w:szCs w:val="22"/>
        </w:rPr>
        <w:t>Steves</w:t>
      </w:r>
      <w:proofErr w:type="spellEnd"/>
      <w:r w:rsidRPr="00A55275">
        <w:rPr>
          <w:color w:val="000000" w:themeColor="text1"/>
          <w:szCs w:val="22"/>
        </w:rPr>
        <w:t xml:space="preserve">, H. (2020). </w:t>
      </w:r>
      <w:r w:rsidRPr="00A55275">
        <w:rPr>
          <w:i/>
          <w:iCs/>
          <w:color w:val="000000" w:themeColor="text1"/>
          <w:szCs w:val="22"/>
        </w:rPr>
        <w:t xml:space="preserve">Protect the Coast: A New Coastal Strategy and Law for British </w:t>
      </w:r>
      <w:proofErr w:type="gramStart"/>
      <w:r w:rsidRPr="00A55275">
        <w:rPr>
          <w:i/>
          <w:iCs/>
          <w:color w:val="000000" w:themeColor="text1"/>
          <w:szCs w:val="22"/>
        </w:rPr>
        <w:t xml:space="preserve">Columbia </w:t>
      </w:r>
      <w:r w:rsidRPr="00A55275">
        <w:rPr>
          <w:color w:val="000000" w:themeColor="text1"/>
          <w:szCs w:val="22"/>
        </w:rPr>
        <w:t>.</w:t>
      </w:r>
      <w:proofErr w:type="gramEnd"/>
      <w:r w:rsidRPr="00A55275">
        <w:rPr>
          <w:color w:val="000000" w:themeColor="text1"/>
          <w:szCs w:val="22"/>
        </w:rPr>
        <w:t xml:space="preserve"> https://www.richmond.ca/__shared/assets/_7_Coastal_Strategy_Council_6-22-202056468.pdf</w:t>
      </w:r>
    </w:p>
    <w:p w14:paraId="61E0EADC" w14:textId="77777777" w:rsidR="00CA4CC2" w:rsidRDefault="00CA4CC2" w:rsidP="000C53BC">
      <w:pPr>
        <w:pStyle w:val="NormalWeb"/>
        <w:spacing w:line="480" w:lineRule="auto"/>
        <w:ind w:left="480" w:hanging="480"/>
      </w:pPr>
      <w:proofErr w:type="spellStart"/>
      <w:proofErr w:type="gramStart"/>
      <w:r w:rsidRPr="00025D40">
        <w:t>Stó:lō</w:t>
      </w:r>
      <w:proofErr w:type="spellEnd"/>
      <w:proofErr w:type="gramEnd"/>
      <w:r w:rsidRPr="00025D40">
        <w:t xml:space="preserve"> Research and Resource Management Centre. </w:t>
      </w:r>
      <w:r>
        <w:t xml:space="preserve">(2020). </w:t>
      </w:r>
      <w:r>
        <w:rPr>
          <w:i/>
          <w:iCs/>
        </w:rPr>
        <w:t>Integrated Cultural Assessment for Roberts Bank Terminal 2</w:t>
      </w:r>
      <w:r>
        <w:t>.</w:t>
      </w:r>
    </w:p>
    <w:p w14:paraId="61513AE8" w14:textId="77777777" w:rsidR="00CD32FD" w:rsidRPr="00CD32FD" w:rsidRDefault="00CD32FD" w:rsidP="00CD32FD">
      <w:pPr>
        <w:suppressAutoHyphens w:val="0"/>
        <w:spacing w:before="100" w:beforeAutospacing="1" w:after="100" w:afterAutospacing="1" w:line="480" w:lineRule="auto"/>
        <w:ind w:left="480" w:hanging="480"/>
        <w:rPr>
          <w:lang w:val="en-CA"/>
        </w:rPr>
      </w:pPr>
      <w:r w:rsidRPr="00CD32FD">
        <w:rPr>
          <w:lang w:val="en-CA"/>
        </w:rPr>
        <w:lastRenderedPageBreak/>
        <w:t xml:space="preserve">Sutton-Grier, A. E., </w:t>
      </w:r>
      <w:proofErr w:type="spellStart"/>
      <w:r w:rsidRPr="00CD32FD">
        <w:rPr>
          <w:lang w:val="en-CA"/>
        </w:rPr>
        <w:t>Wowk</w:t>
      </w:r>
      <w:proofErr w:type="spellEnd"/>
      <w:r w:rsidRPr="00CD32FD">
        <w:rPr>
          <w:lang w:val="en-CA"/>
        </w:rPr>
        <w:t xml:space="preserve">, K., &amp; Bamford, H. (2015). Future of our coasts: The potential for natural and hybrid infrastructure to enhance the resilience of our coastal communities, </w:t>
      </w:r>
      <w:proofErr w:type="gramStart"/>
      <w:r w:rsidRPr="00CD32FD">
        <w:rPr>
          <w:lang w:val="en-CA"/>
        </w:rPr>
        <w:t>economies</w:t>
      </w:r>
      <w:proofErr w:type="gramEnd"/>
      <w:r w:rsidRPr="00CD32FD">
        <w:rPr>
          <w:lang w:val="en-CA"/>
        </w:rPr>
        <w:t xml:space="preserve"> and ecosystems. </w:t>
      </w:r>
      <w:r w:rsidRPr="00CD32FD">
        <w:rPr>
          <w:i/>
          <w:iCs/>
          <w:lang w:val="en-CA"/>
        </w:rPr>
        <w:t>Environmental Science &amp; Policy</w:t>
      </w:r>
      <w:r w:rsidRPr="00CD32FD">
        <w:rPr>
          <w:lang w:val="en-CA"/>
        </w:rPr>
        <w:t xml:space="preserve">, </w:t>
      </w:r>
      <w:r w:rsidRPr="00CD32FD">
        <w:rPr>
          <w:i/>
          <w:iCs/>
          <w:lang w:val="en-CA"/>
        </w:rPr>
        <w:t>51</w:t>
      </w:r>
      <w:r w:rsidRPr="00CD32FD">
        <w:rPr>
          <w:lang w:val="en-CA"/>
        </w:rPr>
        <w:t>, 137–148. https://doi.org/10.1016/J.ENVSCI.2015.04.006</w:t>
      </w:r>
    </w:p>
    <w:p w14:paraId="0C9EE812" w14:textId="77777777" w:rsidR="00CA4CC2" w:rsidRPr="00F23141" w:rsidRDefault="00CA4CC2" w:rsidP="000C53BC">
      <w:pPr>
        <w:spacing w:before="100" w:beforeAutospacing="1" w:after="100" w:afterAutospacing="1" w:line="480" w:lineRule="auto"/>
        <w:ind w:left="480" w:hanging="480"/>
      </w:pPr>
      <w:proofErr w:type="spellStart"/>
      <w:r w:rsidRPr="00F23141">
        <w:t>Torabi</w:t>
      </w:r>
      <w:proofErr w:type="spellEnd"/>
      <w:r w:rsidRPr="00F23141">
        <w:t xml:space="preserve">, E., </w:t>
      </w:r>
      <w:proofErr w:type="spellStart"/>
      <w:r w:rsidRPr="00F23141">
        <w:t>Dedekorkut</w:t>
      </w:r>
      <w:proofErr w:type="spellEnd"/>
      <w:r w:rsidRPr="00F23141">
        <w:t xml:space="preserve">-Howes, A., &amp; Howes, M. (2018). Adapting or maladapting: Building resilience to climate-related disasters in coastal cities. </w:t>
      </w:r>
      <w:r w:rsidRPr="00F23141">
        <w:rPr>
          <w:i/>
          <w:iCs/>
        </w:rPr>
        <w:t>Cities</w:t>
      </w:r>
      <w:r w:rsidRPr="00F23141">
        <w:t xml:space="preserve">, </w:t>
      </w:r>
      <w:r w:rsidRPr="00F23141">
        <w:rPr>
          <w:i/>
          <w:iCs/>
        </w:rPr>
        <w:t>72</w:t>
      </w:r>
      <w:r w:rsidRPr="00F23141">
        <w:t>, 295–309. https://doi.org/10.1016/J.CITIES.2017.09.008</w:t>
      </w:r>
    </w:p>
    <w:p w14:paraId="4739AE77" w14:textId="4F4C4620" w:rsidR="00CA4CC2" w:rsidRPr="00A55275" w:rsidRDefault="00CA4CC2" w:rsidP="000C53BC">
      <w:pPr>
        <w:spacing w:line="480" w:lineRule="auto"/>
        <w:ind w:firstLine="0"/>
        <w:rPr>
          <w:color w:val="000000" w:themeColor="text1"/>
        </w:rPr>
      </w:pPr>
      <w:r w:rsidRPr="00A55275">
        <w:rPr>
          <w:color w:val="000000" w:themeColor="text1"/>
        </w:rPr>
        <w:t>United Nations</w:t>
      </w:r>
      <w:r w:rsidR="00C3188D">
        <w:rPr>
          <w:color w:val="000000" w:themeColor="text1"/>
        </w:rPr>
        <w:t>.</w:t>
      </w:r>
      <w:r w:rsidRPr="00A55275">
        <w:rPr>
          <w:color w:val="000000" w:themeColor="text1"/>
        </w:rPr>
        <w:t xml:space="preserve"> </w:t>
      </w:r>
      <w:r w:rsidR="00C3188D">
        <w:rPr>
          <w:color w:val="000000" w:themeColor="text1"/>
        </w:rPr>
        <w:t>(</w:t>
      </w:r>
      <w:r w:rsidRPr="00A55275">
        <w:rPr>
          <w:color w:val="000000" w:themeColor="text1"/>
        </w:rPr>
        <w:t>2018</w:t>
      </w:r>
      <w:r w:rsidR="00C3188D">
        <w:rPr>
          <w:color w:val="000000" w:themeColor="text1"/>
        </w:rPr>
        <w:t>)</w:t>
      </w:r>
      <w:r w:rsidRPr="00A55275">
        <w:rPr>
          <w:color w:val="000000" w:themeColor="text1"/>
        </w:rPr>
        <w:t>. World Urbanization Prospects 2018 [website section] (</w:t>
      </w:r>
      <w:hyperlink r:id="rId16" w:history="1">
        <w:r w:rsidRPr="00A55275">
          <w:rPr>
            <w:rStyle w:val="Hyperlink"/>
            <w:color w:val="000000" w:themeColor="text1"/>
          </w:rPr>
          <w:t>https://population</w:t>
        </w:r>
      </w:hyperlink>
      <w:r w:rsidRPr="00A55275">
        <w:rPr>
          <w:color w:val="000000" w:themeColor="text1"/>
        </w:rPr>
        <w:t xml:space="preserve">. </w:t>
      </w:r>
      <w:r w:rsidR="00C3188D">
        <w:rPr>
          <w:color w:val="000000" w:themeColor="text1"/>
        </w:rPr>
        <w:tab/>
      </w:r>
      <w:r w:rsidRPr="00A55275">
        <w:rPr>
          <w:color w:val="000000" w:themeColor="text1"/>
        </w:rPr>
        <w:t>un.org/</w:t>
      </w:r>
      <w:proofErr w:type="spellStart"/>
      <w:r w:rsidRPr="00A55275">
        <w:rPr>
          <w:color w:val="000000" w:themeColor="text1"/>
        </w:rPr>
        <w:t>wup</w:t>
      </w:r>
      <w:proofErr w:type="spellEnd"/>
      <w:r w:rsidRPr="00A55275">
        <w:rPr>
          <w:color w:val="000000" w:themeColor="text1"/>
        </w:rPr>
        <w:t>/).</w:t>
      </w:r>
    </w:p>
    <w:p w14:paraId="0AE6E05A"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Van </w:t>
      </w:r>
      <w:proofErr w:type="spellStart"/>
      <w:r w:rsidRPr="00A55275">
        <w:rPr>
          <w:color w:val="000000" w:themeColor="text1"/>
          <w:szCs w:val="22"/>
        </w:rPr>
        <w:t>Assche</w:t>
      </w:r>
      <w:proofErr w:type="spellEnd"/>
      <w:r w:rsidRPr="00A55275">
        <w:rPr>
          <w:color w:val="000000" w:themeColor="text1"/>
          <w:szCs w:val="22"/>
        </w:rPr>
        <w:t xml:space="preserve">, K., </w:t>
      </w:r>
      <w:proofErr w:type="spellStart"/>
      <w:r w:rsidRPr="00A55275">
        <w:rPr>
          <w:color w:val="000000" w:themeColor="text1"/>
          <w:szCs w:val="22"/>
        </w:rPr>
        <w:t>Hornidge</w:t>
      </w:r>
      <w:proofErr w:type="spellEnd"/>
      <w:r w:rsidRPr="00A55275">
        <w:rPr>
          <w:color w:val="000000" w:themeColor="text1"/>
          <w:szCs w:val="22"/>
        </w:rPr>
        <w:t xml:space="preserve">, A. K., Schlüter, A., &amp; </w:t>
      </w:r>
      <w:proofErr w:type="spellStart"/>
      <w:r w:rsidRPr="00A55275">
        <w:rPr>
          <w:color w:val="000000" w:themeColor="text1"/>
          <w:szCs w:val="22"/>
        </w:rPr>
        <w:t>Vaidianu</w:t>
      </w:r>
      <w:proofErr w:type="spellEnd"/>
      <w:r w:rsidRPr="00A55275">
        <w:rPr>
          <w:color w:val="000000" w:themeColor="text1"/>
          <w:szCs w:val="22"/>
        </w:rPr>
        <w:t xml:space="preserve">, N. (2020). Governance and the coastal condition: Towards new modes of observation, </w:t>
      </w:r>
      <w:proofErr w:type="gramStart"/>
      <w:r w:rsidRPr="00A55275">
        <w:rPr>
          <w:color w:val="000000" w:themeColor="text1"/>
          <w:szCs w:val="22"/>
        </w:rPr>
        <w:t>adaptation</w:t>
      </w:r>
      <w:proofErr w:type="gramEnd"/>
      <w:r w:rsidRPr="00A55275">
        <w:rPr>
          <w:color w:val="000000" w:themeColor="text1"/>
          <w:szCs w:val="22"/>
        </w:rPr>
        <w:t xml:space="preserve"> and integration. </w:t>
      </w:r>
      <w:r w:rsidRPr="00A55275">
        <w:rPr>
          <w:i/>
          <w:iCs/>
          <w:color w:val="000000" w:themeColor="text1"/>
          <w:szCs w:val="22"/>
        </w:rPr>
        <w:t>Marine Policy</w:t>
      </w:r>
      <w:r w:rsidRPr="00A55275">
        <w:rPr>
          <w:color w:val="000000" w:themeColor="text1"/>
          <w:szCs w:val="22"/>
        </w:rPr>
        <w:t xml:space="preserve">, </w:t>
      </w:r>
      <w:r w:rsidRPr="00A55275">
        <w:rPr>
          <w:i/>
          <w:iCs/>
          <w:color w:val="000000" w:themeColor="text1"/>
          <w:szCs w:val="22"/>
        </w:rPr>
        <w:t>112</w:t>
      </w:r>
      <w:r w:rsidRPr="00A55275">
        <w:rPr>
          <w:color w:val="000000" w:themeColor="text1"/>
          <w:szCs w:val="22"/>
        </w:rPr>
        <w:t>, 103413. https://doi.org/10.1016/J.MARPOL.2019.01.002</w:t>
      </w:r>
    </w:p>
    <w:p w14:paraId="56399D5B" w14:textId="77777777" w:rsidR="00CA4CC2" w:rsidRPr="00A55275" w:rsidRDefault="00CA4CC2" w:rsidP="000C53BC">
      <w:pPr>
        <w:pStyle w:val="NormalWeb"/>
        <w:spacing w:line="480" w:lineRule="auto"/>
        <w:ind w:left="480" w:hanging="480"/>
        <w:rPr>
          <w:szCs w:val="22"/>
        </w:rPr>
      </w:pPr>
      <w:r w:rsidRPr="00A55275">
        <w:rPr>
          <w:szCs w:val="22"/>
        </w:rPr>
        <w:t xml:space="preserve">Vancouver Fraser Port Authority. (2020). </w:t>
      </w:r>
      <w:r w:rsidRPr="00A55275">
        <w:rPr>
          <w:i/>
          <w:iCs/>
          <w:szCs w:val="22"/>
        </w:rPr>
        <w:t>Roberts Bank Terminal 2 Project Federal Review Panel Report Summary of Key Findings: Western</w:t>
      </w:r>
      <w:r w:rsidRPr="00A55275">
        <w:rPr>
          <w:szCs w:val="22"/>
        </w:rPr>
        <w:t>.</w:t>
      </w:r>
    </w:p>
    <w:p w14:paraId="7B56A2E4"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t xml:space="preserve">Western Hemisphere Shorebird Reserve Network. (2019). </w:t>
      </w:r>
      <w:r w:rsidRPr="00A55275">
        <w:rPr>
          <w:i/>
          <w:iCs/>
          <w:color w:val="000000" w:themeColor="text1"/>
          <w:szCs w:val="22"/>
        </w:rPr>
        <w:t>Port of Vancouver’s Environment Impact Comments on Statement (EIS) for the Roberts Bank Terminal (T2) project</w:t>
      </w:r>
      <w:r w:rsidRPr="00A55275">
        <w:rPr>
          <w:color w:val="000000" w:themeColor="text1"/>
          <w:szCs w:val="22"/>
        </w:rPr>
        <w:t>. https://iaac-aeic.gc.ca/050/documents/p80054/132537E.pdf</w:t>
      </w:r>
    </w:p>
    <w:p w14:paraId="45B4082D" w14:textId="77777777" w:rsidR="00CA4CC2" w:rsidRPr="00F23141" w:rsidRDefault="00CA4CC2" w:rsidP="000C53BC">
      <w:pPr>
        <w:pBdr>
          <w:top w:val="nil"/>
          <w:left w:val="nil"/>
          <w:bottom w:val="nil"/>
          <w:right w:val="nil"/>
          <w:between w:val="nil"/>
          <w:bar w:val="nil"/>
        </w:pBdr>
        <w:autoSpaceDE w:val="0"/>
        <w:autoSpaceDN w:val="0"/>
        <w:adjustRightInd w:val="0"/>
        <w:spacing w:after="210" w:line="480" w:lineRule="auto"/>
        <w:ind w:firstLine="0"/>
        <w:rPr>
          <w:rFonts w:ascii="Times" w:eastAsia="Arial Unicode MS" w:hAnsi="Times"/>
          <w:color w:val="000000"/>
          <w:sz w:val="32"/>
          <w:szCs w:val="32"/>
          <w:bdr w:val="nil"/>
        </w:rPr>
      </w:pPr>
      <w:proofErr w:type="spellStart"/>
      <w:r w:rsidRPr="00F23141">
        <w:rPr>
          <w:rFonts w:ascii="Times" w:eastAsia="Arial Unicode MS" w:hAnsi="Times"/>
          <w:color w:val="000000"/>
          <w:bdr w:val="nil"/>
        </w:rPr>
        <w:t>Wipulanusat</w:t>
      </w:r>
      <w:proofErr w:type="spellEnd"/>
      <w:r w:rsidRPr="00F23141">
        <w:rPr>
          <w:rFonts w:ascii="Times" w:eastAsia="Arial Unicode MS" w:hAnsi="Times"/>
          <w:color w:val="000000"/>
          <w:bdr w:val="nil"/>
        </w:rPr>
        <w:t xml:space="preserve">, W., </w:t>
      </w:r>
      <w:proofErr w:type="spellStart"/>
      <w:r w:rsidRPr="00F23141">
        <w:rPr>
          <w:rFonts w:ascii="Times" w:eastAsia="Arial Unicode MS" w:hAnsi="Times"/>
          <w:color w:val="000000"/>
          <w:bdr w:val="nil"/>
        </w:rPr>
        <w:t>Panuwatwanich</w:t>
      </w:r>
      <w:proofErr w:type="spellEnd"/>
      <w:r w:rsidRPr="00F23141">
        <w:rPr>
          <w:rFonts w:ascii="Times" w:eastAsia="Arial Unicode MS" w:hAnsi="Times"/>
          <w:color w:val="000000"/>
          <w:bdr w:val="nil"/>
        </w:rPr>
        <w:t xml:space="preserve">, K., </w:t>
      </w:r>
      <w:proofErr w:type="spellStart"/>
      <w:proofErr w:type="gramStart"/>
      <w:r w:rsidRPr="00F23141">
        <w:rPr>
          <w:rFonts w:ascii="Times" w:eastAsia="Arial Unicode MS" w:hAnsi="Times"/>
          <w:color w:val="000000"/>
          <w:bdr w:val="nil"/>
        </w:rPr>
        <w:t>Stewart,R</w:t>
      </w:r>
      <w:proofErr w:type="spellEnd"/>
      <w:r w:rsidRPr="00F23141">
        <w:rPr>
          <w:rFonts w:ascii="Times" w:eastAsia="Arial Unicode MS" w:hAnsi="Times"/>
          <w:color w:val="000000"/>
          <w:bdr w:val="nil"/>
        </w:rPr>
        <w:t>.</w:t>
      </w:r>
      <w:proofErr w:type="gramEnd"/>
      <w:r w:rsidRPr="00F23141">
        <w:rPr>
          <w:rFonts w:ascii="Times" w:eastAsia="Arial Unicode MS" w:hAnsi="Times"/>
          <w:color w:val="000000"/>
          <w:bdr w:val="nil"/>
        </w:rPr>
        <w:t xml:space="preserve"> &amp; </w:t>
      </w:r>
      <w:proofErr w:type="spellStart"/>
      <w:r w:rsidRPr="00F23141">
        <w:rPr>
          <w:rFonts w:ascii="Times" w:eastAsia="Arial Unicode MS" w:hAnsi="Times"/>
          <w:color w:val="000000"/>
          <w:bdr w:val="nil"/>
        </w:rPr>
        <w:t>Sunkpho,J</w:t>
      </w:r>
      <w:proofErr w:type="spellEnd"/>
      <w:r w:rsidRPr="00F23141">
        <w:rPr>
          <w:rFonts w:ascii="Times" w:eastAsia="Arial Unicode MS" w:hAnsi="Times"/>
          <w:color w:val="000000"/>
          <w:bdr w:val="nil"/>
        </w:rPr>
        <w:t xml:space="preserve">. (2019). Drivers and barriers to </w:t>
      </w:r>
      <w:r w:rsidRPr="00F23141">
        <w:rPr>
          <w:rFonts w:ascii="Times" w:eastAsia="Arial Unicode MS" w:hAnsi="Times"/>
          <w:color w:val="000000"/>
          <w:bdr w:val="nil"/>
        </w:rPr>
        <w:tab/>
        <w:t xml:space="preserve">innovation in the Australian public service: A qualitative thematic analysis. Engineering </w:t>
      </w:r>
      <w:r w:rsidRPr="00F23141">
        <w:rPr>
          <w:rFonts w:ascii="Times" w:eastAsia="Arial Unicode MS" w:hAnsi="Times"/>
          <w:color w:val="000000"/>
          <w:bdr w:val="nil"/>
        </w:rPr>
        <w:tab/>
        <w:t>Management in Production and Services,11(1) 7-22. https://doi.org/10.2478/emj-2019-</w:t>
      </w:r>
      <w:r w:rsidRPr="00F23141">
        <w:rPr>
          <w:rFonts w:ascii="Times" w:eastAsia="Arial Unicode MS" w:hAnsi="Times"/>
          <w:color w:val="000000"/>
          <w:bdr w:val="nil"/>
        </w:rPr>
        <w:tab/>
        <w:t>0001</w:t>
      </w:r>
    </w:p>
    <w:p w14:paraId="26AA9039" w14:textId="77777777" w:rsidR="00CA4CC2" w:rsidRPr="00A55275" w:rsidRDefault="00CA4CC2" w:rsidP="000C53BC">
      <w:pPr>
        <w:pStyle w:val="NormalWeb"/>
        <w:spacing w:line="480" w:lineRule="auto"/>
        <w:ind w:left="480" w:hanging="480"/>
        <w:rPr>
          <w:color w:val="000000" w:themeColor="text1"/>
          <w:szCs w:val="22"/>
        </w:rPr>
      </w:pPr>
      <w:r w:rsidRPr="00A55275">
        <w:rPr>
          <w:color w:val="000000" w:themeColor="text1"/>
          <w:szCs w:val="22"/>
        </w:rPr>
        <w:lastRenderedPageBreak/>
        <w:t xml:space="preserve">WHSRN. (n.d.). </w:t>
      </w:r>
      <w:r w:rsidRPr="00A55275">
        <w:rPr>
          <w:i/>
          <w:iCs/>
          <w:color w:val="000000" w:themeColor="text1"/>
          <w:szCs w:val="22"/>
        </w:rPr>
        <w:t>About Shorebirds</w:t>
      </w:r>
      <w:r w:rsidRPr="00A55275">
        <w:rPr>
          <w:color w:val="000000" w:themeColor="text1"/>
          <w:szCs w:val="22"/>
        </w:rPr>
        <w:t xml:space="preserve">. Western Hemisphere Shorebird Reserve Network. Retrieved September 23, 2022, from </w:t>
      </w:r>
      <w:proofErr w:type="gramStart"/>
      <w:r w:rsidRPr="00A55275">
        <w:rPr>
          <w:color w:val="000000" w:themeColor="text1"/>
          <w:szCs w:val="22"/>
        </w:rPr>
        <w:t>https://whsrn.org/about-shorebirds/</w:t>
      </w:r>
      <w:proofErr w:type="gramEnd"/>
    </w:p>
    <w:p w14:paraId="786BA76E" w14:textId="77777777" w:rsidR="00CA4CC2" w:rsidRPr="00A55275" w:rsidRDefault="00CA4CC2" w:rsidP="000C53BC">
      <w:pPr>
        <w:pStyle w:val="NormalWeb"/>
        <w:spacing w:line="480" w:lineRule="auto"/>
        <w:ind w:left="480" w:hanging="480"/>
        <w:rPr>
          <w:szCs w:val="22"/>
        </w:rPr>
      </w:pPr>
      <w:r w:rsidRPr="00A55275">
        <w:rPr>
          <w:szCs w:val="22"/>
        </w:rPr>
        <w:t xml:space="preserve">Wood, S. (2020, June 20). How a salt marsh could be a secret weapon against sea level rise in B.C.’s Fraser delta. </w:t>
      </w:r>
      <w:r w:rsidRPr="00A55275">
        <w:rPr>
          <w:i/>
          <w:iCs/>
          <w:szCs w:val="22"/>
        </w:rPr>
        <w:t>The Narwhal</w:t>
      </w:r>
      <w:r w:rsidRPr="00A55275">
        <w:rPr>
          <w:szCs w:val="22"/>
        </w:rPr>
        <w:t>. https://thenarwhal.ca/bc-climate-salt-marsh-sea-level-rise-fraser-delta/</w:t>
      </w:r>
    </w:p>
    <w:p w14:paraId="058A284B" w14:textId="298247C8" w:rsidR="0013133A" w:rsidRPr="002F29FB" w:rsidRDefault="0013133A" w:rsidP="000C53BC">
      <w:pPr>
        <w:pStyle w:val="ReferenceList"/>
        <w:spacing w:line="480" w:lineRule="auto"/>
      </w:pPr>
    </w:p>
    <w:sectPr w:rsidR="0013133A" w:rsidRPr="002F29FB" w:rsidSect="00225CFA">
      <w:footerReference w:type="default" r:id="rId17"/>
      <w:pgSz w:w="12240" w:h="15840" w:code="1"/>
      <w:pgMar w:top="1440" w:right="1440" w:bottom="1440" w:left="2160"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331">
      <wne:acd wne:acdName="acd1"/>
    </wne:keymap>
    <wne:keymap wne:kcmPrimary="0634">
      <wne:acd wne:acdName="acd0"/>
    </wne:keymap>
  </wne:keymaps>
  <wne:toolbars>
    <wne:acdManifest>
      <wne:acdEntry wne:acdName="acd0"/>
      <wne:acdEntry wne:acdName="acd1"/>
    </wne:acdManifest>
  </wne:toolbars>
  <wne:acds>
    <wne:acd wne:argValue="AQAAAAQA" wne:acdName="acd0" wne:fciIndexBasedOn="0065"/>
    <wne:acd wne:argValue="AgBCAHUAbABsAGUAdAAgADE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3D507" w14:textId="77777777" w:rsidR="00834C49" w:rsidRDefault="00834C49">
      <w:r>
        <w:separator/>
      </w:r>
    </w:p>
  </w:endnote>
  <w:endnote w:type="continuationSeparator" w:id="0">
    <w:p w14:paraId="53038C7A" w14:textId="77777777" w:rsidR="00834C49" w:rsidRDefault="00834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embedRegular r:id="rId1" w:fontKey="{D87EA947-B60F-B741-92B1-DA9EA256444B}"/>
    <w:embedBold r:id="rId2" w:fontKey="{ACFFD1B8-ACBF-F740-A89A-8B6C15C97E43}"/>
    <w:embedItalic r:id="rId3" w:fontKey="{05AE5DA8-14C9-8147-983A-6751B9928803}"/>
    <w:embedBoldItalic r:id="rId4" w:fontKey="{47C3ADD4-49BD-2D44-9238-8DCBAF37D7F8}"/>
  </w:font>
  <w:font w:name="Arial">
    <w:panose1 w:val="020B0604020202020204"/>
    <w:charset w:val="00"/>
    <w:family w:val="swiss"/>
    <w:pitch w:val="variable"/>
    <w:sig w:usb0="E0002AFF" w:usb1="C0007843" w:usb2="00000009" w:usb3="00000000" w:csb0="000001FF" w:csb1="00000000"/>
    <w:embedRegular r:id="rId5" w:fontKey="{7F20BEC0-70E7-9E43-9535-230615E0BC69}"/>
    <w:embedBold r:id="rId6" w:fontKey="{85F9F2F4-0841-0446-A7B0-A30D7CB5330C}"/>
    <w:embedItalic r:id="rId7" w:fontKey="{38E34FBD-B2A3-F04B-B25F-E875FA68F0E3}"/>
    <w:embedBoldItalic r:id="rId8" w:fontKey="{C62CD5F6-D1FB-6742-B9F0-D46E91FC1EFF}"/>
  </w:font>
  <w:font w:name="Calibri">
    <w:panose1 w:val="020F0502020204030204"/>
    <w:charset w:val="00"/>
    <w:family w:val="swiss"/>
    <w:pitch w:val="variable"/>
    <w:sig w:usb0="E0002AFF" w:usb1="C000247B" w:usb2="00000009" w:usb3="00000000" w:csb0="000001FF" w:csb1="00000000"/>
    <w:embedRegular r:id="rId9" w:subsetted="1" w:fontKey="{0BACFC11-71E5-7D44-B850-365104DD5202}"/>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1294D" w14:textId="77777777" w:rsidR="005B2415" w:rsidRDefault="005B2415" w:rsidP="00F215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0C6B">
      <w:rPr>
        <w:rStyle w:val="PageNumber"/>
        <w:noProof/>
      </w:rPr>
      <w:t>3</w:t>
    </w:r>
    <w:r>
      <w:rPr>
        <w:rStyle w:val="PageNumber"/>
      </w:rPr>
      <w:fldChar w:fldCharType="end"/>
    </w:r>
  </w:p>
  <w:p w14:paraId="6DAA3CBF" w14:textId="77777777" w:rsidR="005B2415" w:rsidRDefault="005B2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4DFED" w14:textId="77777777" w:rsidR="00834C49" w:rsidRDefault="00834C49">
      <w:r>
        <w:separator/>
      </w:r>
    </w:p>
  </w:footnote>
  <w:footnote w:type="continuationSeparator" w:id="0">
    <w:p w14:paraId="57851D04" w14:textId="77777777" w:rsidR="00834C49" w:rsidRDefault="00834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006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CC254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CE236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4499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A275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6863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64695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0497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C6E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C87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CF24D6"/>
    <w:multiLevelType w:val="hybridMultilevel"/>
    <w:tmpl w:val="E118E28C"/>
    <w:styleLink w:val="ImportedStyle4"/>
    <w:lvl w:ilvl="0" w:tplc="BD945A68">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76C7DA4">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8A245F4">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3BCC0C8">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2ACE8CC">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43EF952">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6800D0A">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2A63D20">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FAE5BAE">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1436F26"/>
    <w:multiLevelType w:val="multilevel"/>
    <w:tmpl w:val="7BFA9190"/>
    <w:lvl w:ilvl="0">
      <w:start w:val="1"/>
      <w:numFmt w:val="decimal"/>
      <w:lvlText w:val="%1"/>
      <w:lvlJc w:val="left"/>
      <w:pPr>
        <w:ind w:left="432" w:hanging="432"/>
      </w:pPr>
      <w:rPr>
        <w:rFonts w:ascii="Times New Roman" w:hAnsi="Times New Roman" w:hint="default"/>
        <w:color w:val="auto"/>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2" w15:restartNumberingAfterBreak="0">
    <w:nsid w:val="11CC73FB"/>
    <w:multiLevelType w:val="multilevel"/>
    <w:tmpl w:val="6FF0AA36"/>
    <w:numStyleLink w:val="Headings"/>
  </w:abstractNum>
  <w:abstractNum w:abstractNumId="13" w15:restartNumberingAfterBreak="0">
    <w:nsid w:val="12075C69"/>
    <w:multiLevelType w:val="hybridMultilevel"/>
    <w:tmpl w:val="F26CE2D8"/>
    <w:lvl w:ilvl="0" w:tplc="3364CB4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D0C0DD4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EE89306">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BD74855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CCB0090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76B8D808">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478406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30C74BA">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2E24FD0">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2A02B9B"/>
    <w:multiLevelType w:val="multilevel"/>
    <w:tmpl w:val="6FF0AA36"/>
    <w:styleLink w:val="Headings"/>
    <w:lvl w:ilvl="0">
      <w:start w:val="1"/>
      <w:numFmt w:val="decimal"/>
      <w:lvlText w:val="%1"/>
      <w:lvlJc w:val="left"/>
      <w:pPr>
        <w:ind w:left="432" w:hanging="432"/>
      </w:pPr>
      <w:rPr>
        <w:rFonts w:ascii="Times New Roman" w:hAnsi="Times New Roman" w:hint="default"/>
        <w:color w:val="auto"/>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5" w15:restartNumberingAfterBreak="0">
    <w:nsid w:val="177216F3"/>
    <w:multiLevelType w:val="multilevel"/>
    <w:tmpl w:val="76A4FCE8"/>
    <w:lvl w:ilvl="0">
      <w:start w:val="1"/>
      <w:numFmt w:val="bullet"/>
      <w:lvlText w:val=""/>
      <w:lvlJc w:val="left"/>
      <w:pPr>
        <w:tabs>
          <w:tab w:val="num" w:pos="432"/>
        </w:tabs>
        <w:ind w:left="432" w:hanging="288"/>
      </w:pPr>
      <w:rPr>
        <w:rFonts w:ascii="Symbol" w:hAnsi="Symbo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9F53B3"/>
    <w:multiLevelType w:val="hybridMultilevel"/>
    <w:tmpl w:val="5F606C42"/>
    <w:lvl w:ilvl="0" w:tplc="DEEA4C1C">
      <w:start w:val="1"/>
      <w:numFmt w:val="decimal"/>
      <w:lvlText w:val="%1.1.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A5F74B3"/>
    <w:multiLevelType w:val="multilevel"/>
    <w:tmpl w:val="234C63C2"/>
    <w:lvl w:ilvl="0">
      <w:start w:val="1"/>
      <w:numFmt w:val="bullet"/>
      <w:lvlText w:val=""/>
      <w:lvlJc w:val="left"/>
      <w:pPr>
        <w:tabs>
          <w:tab w:val="num" w:pos="1008"/>
        </w:tabs>
        <w:ind w:left="1008" w:hanging="288"/>
      </w:pPr>
      <w:rPr>
        <w:rFonts w:ascii="Symbol" w:hAnsi="Symbol" w:hint="default"/>
      </w:rPr>
    </w:lvl>
    <w:lvl w:ilvl="1">
      <w:start w:val="1"/>
      <w:numFmt w:val="bullet"/>
      <w:lvlText w:val="o"/>
      <w:lvlJc w:val="left"/>
      <w:pPr>
        <w:tabs>
          <w:tab w:val="num" w:pos="2952"/>
        </w:tabs>
        <w:ind w:left="2952" w:hanging="360"/>
      </w:pPr>
      <w:rPr>
        <w:rFonts w:ascii="Courier New" w:hAnsi="Courier New" w:cs="Courier New" w:hint="default"/>
      </w:rPr>
    </w:lvl>
    <w:lvl w:ilvl="2">
      <w:start w:val="1"/>
      <w:numFmt w:val="bullet"/>
      <w:lvlText w:val=""/>
      <w:lvlJc w:val="left"/>
      <w:pPr>
        <w:tabs>
          <w:tab w:val="num" w:pos="3672"/>
        </w:tabs>
        <w:ind w:left="3672" w:hanging="360"/>
      </w:pPr>
      <w:rPr>
        <w:rFonts w:ascii="Wingdings" w:hAnsi="Wingdings" w:hint="default"/>
      </w:rPr>
    </w:lvl>
    <w:lvl w:ilvl="3">
      <w:start w:val="1"/>
      <w:numFmt w:val="bullet"/>
      <w:lvlText w:val=""/>
      <w:lvlJc w:val="left"/>
      <w:pPr>
        <w:tabs>
          <w:tab w:val="num" w:pos="4392"/>
        </w:tabs>
        <w:ind w:left="4392" w:hanging="360"/>
      </w:pPr>
      <w:rPr>
        <w:rFonts w:ascii="Symbol" w:hAnsi="Symbol" w:hint="default"/>
      </w:rPr>
    </w:lvl>
    <w:lvl w:ilvl="4">
      <w:start w:val="1"/>
      <w:numFmt w:val="bullet"/>
      <w:lvlText w:val="o"/>
      <w:lvlJc w:val="left"/>
      <w:pPr>
        <w:tabs>
          <w:tab w:val="num" w:pos="5112"/>
        </w:tabs>
        <w:ind w:left="5112" w:hanging="360"/>
      </w:pPr>
      <w:rPr>
        <w:rFonts w:ascii="Courier New" w:hAnsi="Courier New" w:cs="Courier New" w:hint="default"/>
      </w:rPr>
    </w:lvl>
    <w:lvl w:ilvl="5">
      <w:start w:val="1"/>
      <w:numFmt w:val="bullet"/>
      <w:lvlText w:val=""/>
      <w:lvlJc w:val="left"/>
      <w:pPr>
        <w:tabs>
          <w:tab w:val="num" w:pos="5832"/>
        </w:tabs>
        <w:ind w:left="5832" w:hanging="360"/>
      </w:pPr>
      <w:rPr>
        <w:rFonts w:ascii="Wingdings" w:hAnsi="Wingdings" w:hint="default"/>
      </w:rPr>
    </w:lvl>
    <w:lvl w:ilvl="6">
      <w:start w:val="1"/>
      <w:numFmt w:val="bullet"/>
      <w:lvlText w:val=""/>
      <w:lvlJc w:val="left"/>
      <w:pPr>
        <w:tabs>
          <w:tab w:val="num" w:pos="6552"/>
        </w:tabs>
        <w:ind w:left="6552" w:hanging="360"/>
      </w:pPr>
      <w:rPr>
        <w:rFonts w:ascii="Symbol" w:hAnsi="Symbol" w:hint="default"/>
      </w:rPr>
    </w:lvl>
    <w:lvl w:ilvl="7">
      <w:start w:val="1"/>
      <w:numFmt w:val="bullet"/>
      <w:lvlText w:val="o"/>
      <w:lvlJc w:val="left"/>
      <w:pPr>
        <w:tabs>
          <w:tab w:val="num" w:pos="7272"/>
        </w:tabs>
        <w:ind w:left="7272" w:hanging="360"/>
      </w:pPr>
      <w:rPr>
        <w:rFonts w:ascii="Courier New" w:hAnsi="Courier New" w:cs="Courier New" w:hint="default"/>
      </w:rPr>
    </w:lvl>
    <w:lvl w:ilvl="8">
      <w:start w:val="1"/>
      <w:numFmt w:val="bullet"/>
      <w:lvlText w:val=""/>
      <w:lvlJc w:val="left"/>
      <w:pPr>
        <w:tabs>
          <w:tab w:val="num" w:pos="7992"/>
        </w:tabs>
        <w:ind w:left="7992" w:hanging="360"/>
      </w:pPr>
      <w:rPr>
        <w:rFonts w:ascii="Wingdings" w:hAnsi="Wingdings" w:hint="default"/>
      </w:rPr>
    </w:lvl>
  </w:abstractNum>
  <w:abstractNum w:abstractNumId="18" w15:restartNumberingAfterBreak="0">
    <w:nsid w:val="20EB01C1"/>
    <w:multiLevelType w:val="hybridMultilevel"/>
    <w:tmpl w:val="06E00C6E"/>
    <w:lvl w:ilvl="0" w:tplc="3690C3E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25987BB0">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2DE9D8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FB629FB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240921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35B608E8">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E5CF5A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CE4FE3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9B4835A">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2A3784A"/>
    <w:multiLevelType w:val="hybridMultilevel"/>
    <w:tmpl w:val="D7EE5332"/>
    <w:lvl w:ilvl="0" w:tplc="2A58B7A2">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2F66A2C"/>
    <w:multiLevelType w:val="multilevel"/>
    <w:tmpl w:val="D856EF42"/>
    <w:lvl w:ilvl="0">
      <w:start w:val="1"/>
      <w:numFmt w:val="decimal"/>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2533510B"/>
    <w:multiLevelType w:val="multilevel"/>
    <w:tmpl w:val="5C6AAB7E"/>
    <w:lvl w:ilvl="0">
      <w:start w:val="1"/>
      <w:numFmt w:val="decimal"/>
      <w:lvlText w:val="%1."/>
      <w:lvlJc w:val="left"/>
      <w:pPr>
        <w:tabs>
          <w:tab w:val="num" w:pos="1008"/>
        </w:tabs>
        <w:ind w:left="1008" w:hanging="1152"/>
      </w:pPr>
      <w:rPr>
        <w:rFonts w:hint="default"/>
      </w:rPr>
    </w:lvl>
    <w:lvl w:ilvl="1">
      <w:start w:val="1"/>
      <w:numFmt w:val="decimal"/>
      <w:lvlText w:val="%1.%2."/>
      <w:lvlJc w:val="left"/>
      <w:pPr>
        <w:tabs>
          <w:tab w:val="num" w:pos="1332"/>
        </w:tabs>
        <w:ind w:left="1332" w:hanging="1152"/>
      </w:pPr>
      <w:rPr>
        <w:rFonts w:hint="default"/>
      </w:rPr>
    </w:lvl>
    <w:lvl w:ilvl="2">
      <w:start w:val="1"/>
      <w:numFmt w:val="decimal"/>
      <w:lvlText w:val="%1.%2.%3."/>
      <w:lvlJc w:val="left"/>
      <w:pPr>
        <w:tabs>
          <w:tab w:val="num" w:pos="1008"/>
        </w:tabs>
        <w:ind w:left="1008" w:hanging="1152"/>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2" w15:restartNumberingAfterBreak="0">
    <w:nsid w:val="2DA5605B"/>
    <w:multiLevelType w:val="hybridMultilevel"/>
    <w:tmpl w:val="41969F5C"/>
    <w:lvl w:ilvl="0" w:tplc="57C80508">
      <w:start w:val="1"/>
      <w:numFmt w:val="bullet"/>
      <w:pStyle w:val="Bullet1"/>
      <w:lvlText w:val=""/>
      <w:lvlJc w:val="left"/>
      <w:pPr>
        <w:tabs>
          <w:tab w:val="num" w:pos="504"/>
        </w:tabs>
        <w:ind w:left="504" w:hanging="504"/>
      </w:pPr>
      <w:rPr>
        <w:rFonts w:ascii="Symbol" w:hAnsi="Symbol" w:hint="default"/>
      </w:rPr>
    </w:lvl>
    <w:lvl w:ilvl="1" w:tplc="04090003" w:tentative="1">
      <w:start w:val="1"/>
      <w:numFmt w:val="bullet"/>
      <w:lvlText w:val="o"/>
      <w:lvlJc w:val="left"/>
      <w:pPr>
        <w:tabs>
          <w:tab w:val="num" w:pos="2952"/>
        </w:tabs>
        <w:ind w:left="2952" w:hanging="360"/>
      </w:pPr>
      <w:rPr>
        <w:rFonts w:ascii="Courier New" w:hAnsi="Courier New" w:cs="Courier New" w:hint="default"/>
      </w:rPr>
    </w:lvl>
    <w:lvl w:ilvl="2" w:tplc="04090005" w:tentative="1">
      <w:start w:val="1"/>
      <w:numFmt w:val="bullet"/>
      <w:lvlText w:val=""/>
      <w:lvlJc w:val="left"/>
      <w:pPr>
        <w:tabs>
          <w:tab w:val="num" w:pos="3672"/>
        </w:tabs>
        <w:ind w:left="3672" w:hanging="360"/>
      </w:pPr>
      <w:rPr>
        <w:rFonts w:ascii="Wingdings" w:hAnsi="Wingdings" w:hint="default"/>
      </w:rPr>
    </w:lvl>
    <w:lvl w:ilvl="3" w:tplc="04090001" w:tentative="1">
      <w:start w:val="1"/>
      <w:numFmt w:val="bullet"/>
      <w:lvlText w:val=""/>
      <w:lvlJc w:val="left"/>
      <w:pPr>
        <w:tabs>
          <w:tab w:val="num" w:pos="4392"/>
        </w:tabs>
        <w:ind w:left="4392" w:hanging="360"/>
      </w:pPr>
      <w:rPr>
        <w:rFonts w:ascii="Symbol" w:hAnsi="Symbol" w:hint="default"/>
      </w:rPr>
    </w:lvl>
    <w:lvl w:ilvl="4" w:tplc="04090003" w:tentative="1">
      <w:start w:val="1"/>
      <w:numFmt w:val="bullet"/>
      <w:lvlText w:val="o"/>
      <w:lvlJc w:val="left"/>
      <w:pPr>
        <w:tabs>
          <w:tab w:val="num" w:pos="5112"/>
        </w:tabs>
        <w:ind w:left="5112" w:hanging="360"/>
      </w:pPr>
      <w:rPr>
        <w:rFonts w:ascii="Courier New" w:hAnsi="Courier New" w:cs="Courier New" w:hint="default"/>
      </w:rPr>
    </w:lvl>
    <w:lvl w:ilvl="5" w:tplc="04090005" w:tentative="1">
      <w:start w:val="1"/>
      <w:numFmt w:val="bullet"/>
      <w:lvlText w:val=""/>
      <w:lvlJc w:val="left"/>
      <w:pPr>
        <w:tabs>
          <w:tab w:val="num" w:pos="5832"/>
        </w:tabs>
        <w:ind w:left="5832" w:hanging="360"/>
      </w:pPr>
      <w:rPr>
        <w:rFonts w:ascii="Wingdings" w:hAnsi="Wingdings" w:hint="default"/>
      </w:rPr>
    </w:lvl>
    <w:lvl w:ilvl="6" w:tplc="04090001" w:tentative="1">
      <w:start w:val="1"/>
      <w:numFmt w:val="bullet"/>
      <w:lvlText w:val=""/>
      <w:lvlJc w:val="left"/>
      <w:pPr>
        <w:tabs>
          <w:tab w:val="num" w:pos="6552"/>
        </w:tabs>
        <w:ind w:left="6552" w:hanging="360"/>
      </w:pPr>
      <w:rPr>
        <w:rFonts w:ascii="Symbol" w:hAnsi="Symbol" w:hint="default"/>
      </w:rPr>
    </w:lvl>
    <w:lvl w:ilvl="7" w:tplc="04090003" w:tentative="1">
      <w:start w:val="1"/>
      <w:numFmt w:val="bullet"/>
      <w:lvlText w:val="o"/>
      <w:lvlJc w:val="left"/>
      <w:pPr>
        <w:tabs>
          <w:tab w:val="num" w:pos="7272"/>
        </w:tabs>
        <w:ind w:left="7272" w:hanging="360"/>
      </w:pPr>
      <w:rPr>
        <w:rFonts w:ascii="Courier New" w:hAnsi="Courier New" w:cs="Courier New" w:hint="default"/>
      </w:rPr>
    </w:lvl>
    <w:lvl w:ilvl="8" w:tplc="04090005" w:tentative="1">
      <w:start w:val="1"/>
      <w:numFmt w:val="bullet"/>
      <w:lvlText w:val=""/>
      <w:lvlJc w:val="left"/>
      <w:pPr>
        <w:tabs>
          <w:tab w:val="num" w:pos="7992"/>
        </w:tabs>
        <w:ind w:left="7992" w:hanging="360"/>
      </w:pPr>
      <w:rPr>
        <w:rFonts w:ascii="Wingdings" w:hAnsi="Wingdings" w:hint="default"/>
      </w:rPr>
    </w:lvl>
  </w:abstractNum>
  <w:abstractNum w:abstractNumId="23" w15:restartNumberingAfterBreak="0">
    <w:nsid w:val="2E7B5AAE"/>
    <w:multiLevelType w:val="hybridMultilevel"/>
    <w:tmpl w:val="11E4BD3C"/>
    <w:lvl w:ilvl="0" w:tplc="5DF640C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7DC096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38905F3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0468B16">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6E9492EE">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48FC43B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E3E0A02C">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1F22C8A">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F6DABAF4">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F226BB5"/>
    <w:multiLevelType w:val="hybridMultilevel"/>
    <w:tmpl w:val="A994FEDA"/>
    <w:lvl w:ilvl="0" w:tplc="99F6EDF2">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8ACCDE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41C5AE8">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5446F1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929E1A1E">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3C609C6A">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15ACCCE">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7430E8A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FEE58CA">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31820F6E"/>
    <w:multiLevelType w:val="hybridMultilevel"/>
    <w:tmpl w:val="BA3E814C"/>
    <w:lvl w:ilvl="0" w:tplc="64A688A4">
      <w:start w:val="1"/>
      <w:numFmt w:val="bullet"/>
      <w:pStyle w:val="TableBullet"/>
      <w:lvlText w:val=""/>
      <w:lvlJc w:val="left"/>
      <w:pPr>
        <w:tabs>
          <w:tab w:val="num" w:pos="216"/>
        </w:tabs>
        <w:ind w:left="216" w:hanging="216"/>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18D2302"/>
    <w:multiLevelType w:val="hybridMultilevel"/>
    <w:tmpl w:val="31A4DE10"/>
    <w:lvl w:ilvl="0" w:tplc="965268F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4F903CE"/>
    <w:multiLevelType w:val="multilevel"/>
    <w:tmpl w:val="0E52A826"/>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tabs>
          <w:tab w:val="num" w:pos="2952"/>
        </w:tabs>
        <w:ind w:left="2952" w:hanging="360"/>
      </w:pPr>
      <w:rPr>
        <w:rFonts w:ascii="Courier New" w:hAnsi="Courier New" w:cs="Courier New" w:hint="default"/>
      </w:rPr>
    </w:lvl>
    <w:lvl w:ilvl="2">
      <w:start w:val="1"/>
      <w:numFmt w:val="bullet"/>
      <w:lvlText w:val=""/>
      <w:lvlJc w:val="left"/>
      <w:pPr>
        <w:tabs>
          <w:tab w:val="num" w:pos="3672"/>
        </w:tabs>
        <w:ind w:left="3672" w:hanging="360"/>
      </w:pPr>
      <w:rPr>
        <w:rFonts w:ascii="Wingdings" w:hAnsi="Wingdings" w:hint="default"/>
      </w:rPr>
    </w:lvl>
    <w:lvl w:ilvl="3">
      <w:start w:val="1"/>
      <w:numFmt w:val="bullet"/>
      <w:lvlText w:val=""/>
      <w:lvlJc w:val="left"/>
      <w:pPr>
        <w:tabs>
          <w:tab w:val="num" w:pos="4392"/>
        </w:tabs>
        <w:ind w:left="4392" w:hanging="360"/>
      </w:pPr>
      <w:rPr>
        <w:rFonts w:ascii="Symbol" w:hAnsi="Symbol" w:hint="default"/>
      </w:rPr>
    </w:lvl>
    <w:lvl w:ilvl="4">
      <w:start w:val="1"/>
      <w:numFmt w:val="bullet"/>
      <w:lvlText w:val="o"/>
      <w:lvlJc w:val="left"/>
      <w:pPr>
        <w:tabs>
          <w:tab w:val="num" w:pos="5112"/>
        </w:tabs>
        <w:ind w:left="5112" w:hanging="360"/>
      </w:pPr>
      <w:rPr>
        <w:rFonts w:ascii="Courier New" w:hAnsi="Courier New" w:cs="Courier New" w:hint="default"/>
      </w:rPr>
    </w:lvl>
    <w:lvl w:ilvl="5">
      <w:start w:val="1"/>
      <w:numFmt w:val="bullet"/>
      <w:lvlText w:val=""/>
      <w:lvlJc w:val="left"/>
      <w:pPr>
        <w:tabs>
          <w:tab w:val="num" w:pos="5832"/>
        </w:tabs>
        <w:ind w:left="5832" w:hanging="360"/>
      </w:pPr>
      <w:rPr>
        <w:rFonts w:ascii="Wingdings" w:hAnsi="Wingdings" w:hint="default"/>
      </w:rPr>
    </w:lvl>
    <w:lvl w:ilvl="6">
      <w:start w:val="1"/>
      <w:numFmt w:val="bullet"/>
      <w:lvlText w:val=""/>
      <w:lvlJc w:val="left"/>
      <w:pPr>
        <w:tabs>
          <w:tab w:val="num" w:pos="6552"/>
        </w:tabs>
        <w:ind w:left="6552" w:hanging="360"/>
      </w:pPr>
      <w:rPr>
        <w:rFonts w:ascii="Symbol" w:hAnsi="Symbol" w:hint="default"/>
      </w:rPr>
    </w:lvl>
    <w:lvl w:ilvl="7">
      <w:start w:val="1"/>
      <w:numFmt w:val="bullet"/>
      <w:lvlText w:val="o"/>
      <w:lvlJc w:val="left"/>
      <w:pPr>
        <w:tabs>
          <w:tab w:val="num" w:pos="7272"/>
        </w:tabs>
        <w:ind w:left="7272" w:hanging="360"/>
      </w:pPr>
      <w:rPr>
        <w:rFonts w:ascii="Courier New" w:hAnsi="Courier New" w:cs="Courier New" w:hint="default"/>
      </w:rPr>
    </w:lvl>
    <w:lvl w:ilvl="8">
      <w:start w:val="1"/>
      <w:numFmt w:val="bullet"/>
      <w:lvlText w:val=""/>
      <w:lvlJc w:val="left"/>
      <w:pPr>
        <w:tabs>
          <w:tab w:val="num" w:pos="7992"/>
        </w:tabs>
        <w:ind w:left="7992" w:hanging="360"/>
      </w:pPr>
      <w:rPr>
        <w:rFonts w:ascii="Wingdings" w:hAnsi="Wingdings" w:hint="default"/>
      </w:rPr>
    </w:lvl>
  </w:abstractNum>
  <w:abstractNum w:abstractNumId="28" w15:restartNumberingAfterBreak="0">
    <w:nsid w:val="3AEC3611"/>
    <w:multiLevelType w:val="hybridMultilevel"/>
    <w:tmpl w:val="45507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B54993"/>
    <w:multiLevelType w:val="multilevel"/>
    <w:tmpl w:val="6FF0AA36"/>
    <w:numStyleLink w:val="Headings"/>
  </w:abstractNum>
  <w:abstractNum w:abstractNumId="30" w15:restartNumberingAfterBreak="0">
    <w:nsid w:val="4ED8058D"/>
    <w:multiLevelType w:val="hybridMultilevel"/>
    <w:tmpl w:val="5644FF1C"/>
    <w:lvl w:ilvl="0" w:tplc="5D9A4188">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040BE4E">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5346F74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D42996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3258A832">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8689B58">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A4C0F3C">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520E88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C9FEC69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F0367C0"/>
    <w:multiLevelType w:val="hybridMultilevel"/>
    <w:tmpl w:val="8586CDBA"/>
    <w:lvl w:ilvl="0" w:tplc="5A2005D6">
      <w:start w:val="1"/>
      <w:numFmt w:val="decimal"/>
      <w:lvlText w:val="%1.1.1.1"/>
      <w:lvlJc w:val="left"/>
      <w:pPr>
        <w:ind w:left="360" w:hanging="360"/>
      </w:pPr>
      <w:rPr>
        <w:rFonts w:hint="default"/>
      </w:rPr>
    </w:lvl>
    <w:lvl w:ilvl="1" w:tplc="10090019" w:tentative="1">
      <w:start w:val="1"/>
      <w:numFmt w:val="lowerLetter"/>
      <w:lvlText w:val="%2."/>
      <w:lvlJc w:val="left"/>
      <w:pPr>
        <w:ind w:left="2448" w:hanging="360"/>
      </w:pPr>
    </w:lvl>
    <w:lvl w:ilvl="2" w:tplc="1009001B">
      <w:start w:val="1"/>
      <w:numFmt w:val="lowerRoman"/>
      <w:lvlText w:val="%3."/>
      <w:lvlJc w:val="right"/>
      <w:pPr>
        <w:ind w:left="3168" w:hanging="180"/>
      </w:pPr>
    </w:lvl>
    <w:lvl w:ilvl="3" w:tplc="1009000F" w:tentative="1">
      <w:start w:val="1"/>
      <w:numFmt w:val="decimal"/>
      <w:lvlText w:val="%4."/>
      <w:lvlJc w:val="left"/>
      <w:pPr>
        <w:ind w:left="3888" w:hanging="360"/>
      </w:pPr>
    </w:lvl>
    <w:lvl w:ilvl="4" w:tplc="10090019" w:tentative="1">
      <w:start w:val="1"/>
      <w:numFmt w:val="lowerLetter"/>
      <w:lvlText w:val="%5."/>
      <w:lvlJc w:val="left"/>
      <w:pPr>
        <w:ind w:left="4608" w:hanging="360"/>
      </w:pPr>
    </w:lvl>
    <w:lvl w:ilvl="5" w:tplc="1009001B" w:tentative="1">
      <w:start w:val="1"/>
      <w:numFmt w:val="lowerRoman"/>
      <w:lvlText w:val="%6."/>
      <w:lvlJc w:val="right"/>
      <w:pPr>
        <w:ind w:left="5328" w:hanging="180"/>
      </w:pPr>
    </w:lvl>
    <w:lvl w:ilvl="6" w:tplc="1009000F" w:tentative="1">
      <w:start w:val="1"/>
      <w:numFmt w:val="decimal"/>
      <w:lvlText w:val="%7."/>
      <w:lvlJc w:val="left"/>
      <w:pPr>
        <w:ind w:left="6048" w:hanging="360"/>
      </w:pPr>
    </w:lvl>
    <w:lvl w:ilvl="7" w:tplc="10090019" w:tentative="1">
      <w:start w:val="1"/>
      <w:numFmt w:val="lowerLetter"/>
      <w:lvlText w:val="%8."/>
      <w:lvlJc w:val="left"/>
      <w:pPr>
        <w:ind w:left="6768" w:hanging="360"/>
      </w:pPr>
    </w:lvl>
    <w:lvl w:ilvl="8" w:tplc="1009001B" w:tentative="1">
      <w:start w:val="1"/>
      <w:numFmt w:val="lowerRoman"/>
      <w:lvlText w:val="%9."/>
      <w:lvlJc w:val="right"/>
      <w:pPr>
        <w:ind w:left="7488" w:hanging="180"/>
      </w:pPr>
    </w:lvl>
  </w:abstractNum>
  <w:abstractNum w:abstractNumId="32" w15:restartNumberingAfterBreak="0">
    <w:nsid w:val="53231C02"/>
    <w:multiLevelType w:val="multilevel"/>
    <w:tmpl w:val="6FF0AA36"/>
    <w:numStyleLink w:val="Headings"/>
  </w:abstractNum>
  <w:abstractNum w:abstractNumId="33" w15:restartNumberingAfterBreak="0">
    <w:nsid w:val="5A402090"/>
    <w:multiLevelType w:val="hybridMultilevel"/>
    <w:tmpl w:val="BC34C198"/>
    <w:styleLink w:val="ImportedStyle1"/>
    <w:lvl w:ilvl="0" w:tplc="620257E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0C659C">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B2EA0C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A420B8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1B48242">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3A2A5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A7ADA5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C0C48E">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FA478BE">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5B38417E"/>
    <w:multiLevelType w:val="hybridMultilevel"/>
    <w:tmpl w:val="A0EA9840"/>
    <w:lvl w:ilvl="0" w:tplc="5EAC6BF8">
      <w:start w:val="1"/>
      <w:numFmt w:val="bullet"/>
      <w:pStyle w:val="BoxBullet"/>
      <w:lvlText w:val=""/>
      <w:lvlJc w:val="left"/>
      <w:pPr>
        <w:tabs>
          <w:tab w:val="num" w:pos="432"/>
        </w:tabs>
        <w:ind w:left="432" w:hanging="432"/>
      </w:pPr>
      <w:rPr>
        <w:rFonts w:ascii="Symbol" w:hAnsi="Symbol" w:hint="default"/>
        <w:sz w:val="16"/>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9C53EA"/>
    <w:multiLevelType w:val="hybridMultilevel"/>
    <w:tmpl w:val="8604B61C"/>
    <w:lvl w:ilvl="0" w:tplc="1756B00E">
      <w:start w:val="1"/>
      <w:numFmt w:val="decimal"/>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F977857"/>
    <w:multiLevelType w:val="multilevel"/>
    <w:tmpl w:val="6FF0AA36"/>
    <w:numStyleLink w:val="Headings"/>
  </w:abstractNum>
  <w:abstractNum w:abstractNumId="37" w15:restartNumberingAfterBreak="0">
    <w:nsid w:val="60F6764C"/>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60FC67CF"/>
    <w:multiLevelType w:val="hybridMultilevel"/>
    <w:tmpl w:val="94249B78"/>
    <w:lvl w:ilvl="0" w:tplc="B478DDF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6474367A">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643CDB80">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74C6EE8">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30628CD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1F49E08">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17264F5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86CDB0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0328781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2D96ECB"/>
    <w:multiLevelType w:val="hybridMultilevel"/>
    <w:tmpl w:val="BC34C198"/>
    <w:numStyleLink w:val="ImportedStyle1"/>
  </w:abstractNum>
  <w:abstractNum w:abstractNumId="40" w15:restartNumberingAfterBreak="0">
    <w:nsid w:val="683F778F"/>
    <w:multiLevelType w:val="multilevel"/>
    <w:tmpl w:val="4500944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09D7A88"/>
    <w:multiLevelType w:val="multilevel"/>
    <w:tmpl w:val="E16446AA"/>
    <w:lvl w:ilvl="0">
      <w:start w:val="1"/>
      <w:numFmt w:val="decimal"/>
      <w:lvlText w:val="%1."/>
      <w:lvlJc w:val="left"/>
      <w:pPr>
        <w:tabs>
          <w:tab w:val="num" w:pos="288"/>
        </w:tabs>
        <w:ind w:left="288" w:hanging="28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1B80154"/>
    <w:multiLevelType w:val="hybridMultilevel"/>
    <w:tmpl w:val="34E22AA0"/>
    <w:lvl w:ilvl="0" w:tplc="BB509A36">
      <w:start w:val="1"/>
      <w:numFmt w:val="bullet"/>
      <w:lvlText w:val="-"/>
      <w:lvlJc w:val="left"/>
      <w:pPr>
        <w:tabs>
          <w:tab w:val="left" w:pos="1869"/>
        </w:tabs>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C38D044">
      <w:start w:val="1"/>
      <w:numFmt w:val="bullet"/>
      <w:lvlText w:val="o"/>
      <w:lvlJc w:val="left"/>
      <w:pPr>
        <w:tabs>
          <w:tab w:val="left" w:pos="1869"/>
        </w:tabs>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3EDC1312">
      <w:start w:val="1"/>
      <w:numFmt w:val="bullet"/>
      <w:lvlText w:val="▪"/>
      <w:lvlJc w:val="left"/>
      <w:pPr>
        <w:tabs>
          <w:tab w:val="left" w:pos="1869"/>
        </w:tabs>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8CA6C8E">
      <w:start w:val="1"/>
      <w:numFmt w:val="bullet"/>
      <w:lvlText w:val="•"/>
      <w:lvlJc w:val="left"/>
      <w:pPr>
        <w:tabs>
          <w:tab w:val="left" w:pos="1869"/>
        </w:tabs>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E9DC517E">
      <w:start w:val="1"/>
      <w:numFmt w:val="bullet"/>
      <w:lvlText w:val="o"/>
      <w:lvlJc w:val="left"/>
      <w:pPr>
        <w:tabs>
          <w:tab w:val="left" w:pos="1869"/>
        </w:tabs>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CA5A7F46">
      <w:start w:val="1"/>
      <w:numFmt w:val="bullet"/>
      <w:lvlText w:val="▪"/>
      <w:lvlJc w:val="left"/>
      <w:pPr>
        <w:tabs>
          <w:tab w:val="left" w:pos="1869"/>
        </w:tabs>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31EA54B2">
      <w:start w:val="1"/>
      <w:numFmt w:val="bullet"/>
      <w:lvlText w:val="•"/>
      <w:lvlJc w:val="left"/>
      <w:pPr>
        <w:tabs>
          <w:tab w:val="left" w:pos="1869"/>
        </w:tabs>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C242FDA8">
      <w:start w:val="1"/>
      <w:numFmt w:val="bullet"/>
      <w:lvlText w:val="o"/>
      <w:lvlJc w:val="left"/>
      <w:pPr>
        <w:tabs>
          <w:tab w:val="left" w:pos="1869"/>
        </w:tabs>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A8E30D2">
      <w:start w:val="1"/>
      <w:numFmt w:val="bullet"/>
      <w:lvlText w:val="▪"/>
      <w:lvlJc w:val="left"/>
      <w:pPr>
        <w:tabs>
          <w:tab w:val="left" w:pos="1869"/>
        </w:tabs>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96C098F"/>
    <w:multiLevelType w:val="hybridMultilevel"/>
    <w:tmpl w:val="E118E28C"/>
    <w:numStyleLink w:val="ImportedStyle4"/>
  </w:abstractNum>
  <w:abstractNum w:abstractNumId="44" w15:restartNumberingAfterBreak="0">
    <w:nsid w:val="7A3D538B"/>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7CC325C8"/>
    <w:multiLevelType w:val="hybridMultilevel"/>
    <w:tmpl w:val="4F3C0FE2"/>
    <w:lvl w:ilvl="0" w:tplc="D1AA0F44">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95074F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9EC8F26">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CD45C6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8D4526C">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57F2489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43602BF4">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B10505A">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08D42380">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785587971">
    <w:abstractNumId w:val="25"/>
  </w:num>
  <w:num w:numId="2" w16cid:durableId="596210989">
    <w:abstractNumId w:val="22"/>
  </w:num>
  <w:num w:numId="3" w16cid:durableId="1098719796">
    <w:abstractNumId w:val="35"/>
  </w:num>
  <w:num w:numId="4" w16cid:durableId="518586528">
    <w:abstractNumId w:val="9"/>
  </w:num>
  <w:num w:numId="5" w16cid:durableId="909388116">
    <w:abstractNumId w:val="7"/>
  </w:num>
  <w:num w:numId="6" w16cid:durableId="1851217839">
    <w:abstractNumId w:val="6"/>
  </w:num>
  <w:num w:numId="7" w16cid:durableId="1837530934">
    <w:abstractNumId w:val="5"/>
  </w:num>
  <w:num w:numId="8" w16cid:durableId="2061980824">
    <w:abstractNumId w:val="4"/>
  </w:num>
  <w:num w:numId="9" w16cid:durableId="265040047">
    <w:abstractNumId w:val="8"/>
  </w:num>
  <w:num w:numId="10" w16cid:durableId="971180974">
    <w:abstractNumId w:val="3"/>
  </w:num>
  <w:num w:numId="11" w16cid:durableId="1233662869">
    <w:abstractNumId w:val="2"/>
  </w:num>
  <w:num w:numId="12" w16cid:durableId="697899446">
    <w:abstractNumId w:val="1"/>
  </w:num>
  <w:num w:numId="13" w16cid:durableId="1293050639">
    <w:abstractNumId w:val="0"/>
  </w:num>
  <w:num w:numId="14" w16cid:durableId="583534042">
    <w:abstractNumId w:val="17"/>
  </w:num>
  <w:num w:numId="15" w16cid:durableId="1749187243">
    <w:abstractNumId w:val="40"/>
  </w:num>
  <w:num w:numId="16" w16cid:durableId="194777998">
    <w:abstractNumId w:val="41"/>
  </w:num>
  <w:num w:numId="17" w16cid:durableId="683942831">
    <w:abstractNumId w:val="27"/>
  </w:num>
  <w:num w:numId="18" w16cid:durableId="1570841204">
    <w:abstractNumId w:val="34"/>
  </w:num>
  <w:num w:numId="19" w16cid:durableId="608243238">
    <w:abstractNumId w:val="15"/>
  </w:num>
  <w:num w:numId="20" w16cid:durableId="859974268">
    <w:abstractNumId w:val="19"/>
  </w:num>
  <w:num w:numId="21" w16cid:durableId="1208028122">
    <w:abstractNumId w:val="26"/>
  </w:num>
  <w:num w:numId="22" w16cid:durableId="1576620329">
    <w:abstractNumId w:val="14"/>
  </w:num>
  <w:num w:numId="23" w16cid:durableId="309138338">
    <w:abstractNumId w:val="14"/>
  </w:num>
  <w:num w:numId="24" w16cid:durableId="232012134">
    <w:abstractNumId w:val="29"/>
  </w:num>
  <w:num w:numId="25" w16cid:durableId="280958678">
    <w:abstractNumId w:val="11"/>
  </w:num>
  <w:num w:numId="26" w16cid:durableId="1110976949">
    <w:abstractNumId w:val="21"/>
  </w:num>
  <w:num w:numId="27" w16cid:durableId="1172531437">
    <w:abstractNumId w:val="21"/>
  </w:num>
  <w:num w:numId="28" w16cid:durableId="505022584">
    <w:abstractNumId w:val="31"/>
  </w:num>
  <w:num w:numId="29" w16cid:durableId="694424236">
    <w:abstractNumId w:val="20"/>
  </w:num>
  <w:num w:numId="30" w16cid:durableId="1682387922">
    <w:abstractNumId w:val="12"/>
  </w:num>
  <w:num w:numId="31" w16cid:durableId="931932628">
    <w:abstractNumId w:val="36"/>
  </w:num>
  <w:num w:numId="32" w16cid:durableId="278148491">
    <w:abstractNumId w:val="32"/>
  </w:num>
  <w:num w:numId="33" w16cid:durableId="1900625353">
    <w:abstractNumId w:val="44"/>
  </w:num>
  <w:num w:numId="34" w16cid:durableId="1152285596">
    <w:abstractNumId w:val="37"/>
  </w:num>
  <w:num w:numId="35" w16cid:durableId="1108936485">
    <w:abstractNumId w:val="37"/>
  </w:num>
  <w:num w:numId="36" w16cid:durableId="5299254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7572078">
    <w:abstractNumId w:val="16"/>
  </w:num>
  <w:num w:numId="38" w16cid:durableId="1354114044">
    <w:abstractNumId w:val="10"/>
  </w:num>
  <w:num w:numId="39" w16cid:durableId="1022901259">
    <w:abstractNumId w:val="43"/>
  </w:num>
  <w:num w:numId="40" w16cid:durableId="2137139447">
    <w:abstractNumId w:val="33"/>
  </w:num>
  <w:num w:numId="41" w16cid:durableId="1221592178">
    <w:abstractNumId w:val="39"/>
  </w:num>
  <w:num w:numId="42" w16cid:durableId="778718847">
    <w:abstractNumId w:val="18"/>
  </w:num>
  <w:num w:numId="43" w16cid:durableId="877208560">
    <w:abstractNumId w:val="42"/>
  </w:num>
  <w:num w:numId="44" w16cid:durableId="1662197752">
    <w:abstractNumId w:val="30"/>
  </w:num>
  <w:num w:numId="45" w16cid:durableId="937561185">
    <w:abstractNumId w:val="24"/>
  </w:num>
  <w:num w:numId="46" w16cid:durableId="412900063">
    <w:abstractNumId w:val="13"/>
  </w:num>
  <w:num w:numId="47" w16cid:durableId="1619222398">
    <w:abstractNumId w:val="45"/>
  </w:num>
  <w:num w:numId="48" w16cid:durableId="591400481">
    <w:abstractNumId w:val="38"/>
  </w:num>
  <w:num w:numId="49" w16cid:durableId="2002387962">
    <w:abstractNumId w:val="38"/>
    <w:lvlOverride w:ilvl="0">
      <w:lvl w:ilvl="0" w:tplc="B478DDFA">
        <w:start w:val="1"/>
        <w:numFmt w:val="bullet"/>
        <w:lvlText w:val="-"/>
        <w:lvlJc w:val="left"/>
        <w:pPr>
          <w:tabs>
            <w:tab w:val="left" w:pos="2537"/>
          </w:tabs>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474367A">
        <w:start w:val="1"/>
        <w:numFmt w:val="bullet"/>
        <w:lvlText w:val="o"/>
        <w:lvlJc w:val="left"/>
        <w:pPr>
          <w:tabs>
            <w:tab w:val="left" w:pos="2537"/>
          </w:tabs>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43CDB80">
        <w:start w:val="1"/>
        <w:numFmt w:val="bullet"/>
        <w:lvlText w:val="▪"/>
        <w:lvlJc w:val="left"/>
        <w:pPr>
          <w:tabs>
            <w:tab w:val="left" w:pos="2537"/>
          </w:tabs>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74C6EE8">
        <w:start w:val="1"/>
        <w:numFmt w:val="bullet"/>
        <w:lvlText w:val="•"/>
        <w:lvlJc w:val="left"/>
        <w:pPr>
          <w:tabs>
            <w:tab w:val="left" w:pos="2537"/>
          </w:tabs>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0628CD8">
        <w:start w:val="1"/>
        <w:numFmt w:val="bullet"/>
        <w:lvlText w:val="o"/>
        <w:lvlJc w:val="left"/>
        <w:pPr>
          <w:tabs>
            <w:tab w:val="left" w:pos="2537"/>
          </w:tabs>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A1F49E08">
        <w:start w:val="1"/>
        <w:numFmt w:val="bullet"/>
        <w:lvlText w:val="▪"/>
        <w:lvlJc w:val="left"/>
        <w:pPr>
          <w:tabs>
            <w:tab w:val="left" w:pos="2537"/>
          </w:tabs>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7264F58">
        <w:start w:val="1"/>
        <w:numFmt w:val="bullet"/>
        <w:lvlText w:val="•"/>
        <w:lvlJc w:val="left"/>
        <w:pPr>
          <w:tabs>
            <w:tab w:val="left" w:pos="2537"/>
          </w:tabs>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86CDB0C">
        <w:start w:val="1"/>
        <w:numFmt w:val="bullet"/>
        <w:lvlText w:val="o"/>
        <w:lvlJc w:val="left"/>
        <w:pPr>
          <w:tabs>
            <w:tab w:val="left" w:pos="2537"/>
          </w:tabs>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328781C">
        <w:start w:val="1"/>
        <w:numFmt w:val="bullet"/>
        <w:lvlText w:val="▪"/>
        <w:lvlJc w:val="left"/>
        <w:pPr>
          <w:tabs>
            <w:tab w:val="left" w:pos="2537"/>
          </w:tabs>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0" w16cid:durableId="1069689499">
    <w:abstractNumId w:val="23"/>
  </w:num>
  <w:num w:numId="51" w16cid:durableId="1582107128">
    <w:abstractNumId w:val="20"/>
  </w:num>
  <w:num w:numId="52" w16cid:durableId="545411907">
    <w:abstractNumId w:val="20"/>
  </w:num>
  <w:num w:numId="53" w16cid:durableId="1361007821">
    <w:abstractNumId w:val="20"/>
  </w:num>
  <w:num w:numId="54" w16cid:durableId="856887215">
    <w:abstractNumId w:val="20"/>
  </w:num>
  <w:num w:numId="55" w16cid:durableId="799300431">
    <w:abstractNumId w:val="20"/>
  </w:num>
  <w:num w:numId="56" w16cid:durableId="1586180915">
    <w:abstractNumId w:val="20"/>
  </w:num>
  <w:num w:numId="57" w16cid:durableId="656954910">
    <w:abstractNumId w:val="20"/>
  </w:num>
  <w:num w:numId="58" w16cid:durableId="23211270">
    <w:abstractNumId w:val="20"/>
  </w:num>
  <w:num w:numId="59" w16cid:durableId="972633469">
    <w:abstractNumId w:val="20"/>
  </w:num>
  <w:num w:numId="60" w16cid:durableId="1800370554">
    <w:abstractNumId w:val="20"/>
    <w:lvlOverride w:ilvl="0">
      <w:startOverride w:val="3"/>
    </w:lvlOverride>
    <w:lvlOverride w:ilvl="1"/>
  </w:num>
  <w:num w:numId="61" w16cid:durableId="2049253768">
    <w:abstractNumId w:val="20"/>
  </w:num>
  <w:num w:numId="62" w16cid:durableId="1754231412">
    <w:abstractNumId w:val="28"/>
  </w:num>
  <w:num w:numId="63" w16cid:durableId="704328570">
    <w:abstractNumId w:val="20"/>
  </w:num>
  <w:num w:numId="64" w16cid:durableId="15832223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TrueTypeFonts/>
  <w:saveSubsetFonts/>
  <w:activeWritingStyle w:appName="MSWord" w:lang="en-US" w:vendorID="64" w:dllVersion="6" w:nlCheck="1" w:checkStyle="1"/>
  <w:activeWritingStyle w:appName="MSWord" w:lang="en-CA" w:vendorID="64" w:dllVersion="6" w:nlCheck="1" w:checkStyle="1"/>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0" w:nlCheck="1" w:checkStyle="0"/>
  <w:activeWritingStyle w:appName="MSWord" w:lang="da-DK" w:vendorID="64" w:dllVersion="0" w:nlCheck="1" w:checkStyle="0"/>
  <w:proofState w:spelling="clean" w:grammar="clean"/>
  <w:attachedTemplate r:id="rId1"/>
  <w:stylePaneFormatFilter w:val="1D08" w:allStyles="0" w:customStyles="0" w:latentStyles="0" w:stylesInUse="1" w:headingStyles="0" w:numberingStyles="0" w:tableStyles="0" w:directFormattingOnRuns="1" w:directFormattingOnParagraphs="0" w:directFormattingOnNumbering="1" w:directFormattingOnTables="1" w:clearFormatting="1" w:top3HeadingStyles="0" w:visibleStyles="0" w:alternateStyleNames="0"/>
  <w:defaultTabStop w:val="720"/>
  <w:autoHyphenation/>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64A0FF4-0655-4F43-8464-FC9C231A7D06}"/>
    <w:docVar w:name="dgnword-eventsink" w:val="21838552"/>
  </w:docVars>
  <w:rsids>
    <w:rsidRoot w:val="00FE4545"/>
    <w:rsid w:val="00005B68"/>
    <w:rsid w:val="000060A1"/>
    <w:rsid w:val="0001011E"/>
    <w:rsid w:val="0001098F"/>
    <w:rsid w:val="000132E4"/>
    <w:rsid w:val="0001499C"/>
    <w:rsid w:val="00026138"/>
    <w:rsid w:val="00026E53"/>
    <w:rsid w:val="00027E2D"/>
    <w:rsid w:val="000373DE"/>
    <w:rsid w:val="00043CF0"/>
    <w:rsid w:val="00046049"/>
    <w:rsid w:val="00051826"/>
    <w:rsid w:val="0005284F"/>
    <w:rsid w:val="00060F2E"/>
    <w:rsid w:val="000640E1"/>
    <w:rsid w:val="000647E9"/>
    <w:rsid w:val="00072728"/>
    <w:rsid w:val="00085A6C"/>
    <w:rsid w:val="000872DA"/>
    <w:rsid w:val="000928BC"/>
    <w:rsid w:val="000A2705"/>
    <w:rsid w:val="000A3473"/>
    <w:rsid w:val="000A65DE"/>
    <w:rsid w:val="000B0F37"/>
    <w:rsid w:val="000B1859"/>
    <w:rsid w:val="000B3825"/>
    <w:rsid w:val="000B64EB"/>
    <w:rsid w:val="000B7708"/>
    <w:rsid w:val="000B7C6F"/>
    <w:rsid w:val="000C06CA"/>
    <w:rsid w:val="000C263E"/>
    <w:rsid w:val="000C53BC"/>
    <w:rsid w:val="000C7C69"/>
    <w:rsid w:val="000D38A9"/>
    <w:rsid w:val="000D607E"/>
    <w:rsid w:val="000D6EBB"/>
    <w:rsid w:val="000E1438"/>
    <w:rsid w:val="000E2B99"/>
    <w:rsid w:val="000E521A"/>
    <w:rsid w:val="000E5485"/>
    <w:rsid w:val="000E6345"/>
    <w:rsid w:val="000F6D2E"/>
    <w:rsid w:val="000F6FA6"/>
    <w:rsid w:val="00103A12"/>
    <w:rsid w:val="001063B6"/>
    <w:rsid w:val="00106D39"/>
    <w:rsid w:val="00114026"/>
    <w:rsid w:val="00114357"/>
    <w:rsid w:val="00115D34"/>
    <w:rsid w:val="00116CDF"/>
    <w:rsid w:val="00117FF5"/>
    <w:rsid w:val="001203EC"/>
    <w:rsid w:val="00120665"/>
    <w:rsid w:val="00125C7A"/>
    <w:rsid w:val="00126007"/>
    <w:rsid w:val="00127833"/>
    <w:rsid w:val="00130F5D"/>
    <w:rsid w:val="0013133A"/>
    <w:rsid w:val="0013742F"/>
    <w:rsid w:val="00143980"/>
    <w:rsid w:val="00143A8E"/>
    <w:rsid w:val="00144D88"/>
    <w:rsid w:val="00145AA6"/>
    <w:rsid w:val="00156E7B"/>
    <w:rsid w:val="00161508"/>
    <w:rsid w:val="0016258A"/>
    <w:rsid w:val="001652F4"/>
    <w:rsid w:val="0016558E"/>
    <w:rsid w:val="00175A76"/>
    <w:rsid w:val="00180AB0"/>
    <w:rsid w:val="00182BC9"/>
    <w:rsid w:val="00197762"/>
    <w:rsid w:val="00197B12"/>
    <w:rsid w:val="001A0CDA"/>
    <w:rsid w:val="001A5041"/>
    <w:rsid w:val="001A55CB"/>
    <w:rsid w:val="001A65B5"/>
    <w:rsid w:val="001B079E"/>
    <w:rsid w:val="001B0968"/>
    <w:rsid w:val="001B1F2A"/>
    <w:rsid w:val="001B2CEC"/>
    <w:rsid w:val="001B39FF"/>
    <w:rsid w:val="001B7CDF"/>
    <w:rsid w:val="001C1910"/>
    <w:rsid w:val="001C1ABC"/>
    <w:rsid w:val="001C4E02"/>
    <w:rsid w:val="001C622C"/>
    <w:rsid w:val="001D3193"/>
    <w:rsid w:val="001D3829"/>
    <w:rsid w:val="001D6AFC"/>
    <w:rsid w:val="001E486F"/>
    <w:rsid w:val="001E7CA3"/>
    <w:rsid w:val="001F1F29"/>
    <w:rsid w:val="001F5885"/>
    <w:rsid w:val="001F5D04"/>
    <w:rsid w:val="001F6C9B"/>
    <w:rsid w:val="001F7161"/>
    <w:rsid w:val="0020343E"/>
    <w:rsid w:val="00205B2D"/>
    <w:rsid w:val="00207993"/>
    <w:rsid w:val="00207E52"/>
    <w:rsid w:val="00211744"/>
    <w:rsid w:val="0021429F"/>
    <w:rsid w:val="00223291"/>
    <w:rsid w:val="00225CFA"/>
    <w:rsid w:val="002354C3"/>
    <w:rsid w:val="00237263"/>
    <w:rsid w:val="00237C1B"/>
    <w:rsid w:val="00242AB0"/>
    <w:rsid w:val="00245207"/>
    <w:rsid w:val="0024777B"/>
    <w:rsid w:val="00250675"/>
    <w:rsid w:val="00251584"/>
    <w:rsid w:val="0025670C"/>
    <w:rsid w:val="0026391C"/>
    <w:rsid w:val="00265C1D"/>
    <w:rsid w:val="002664E4"/>
    <w:rsid w:val="00267111"/>
    <w:rsid w:val="002702F7"/>
    <w:rsid w:val="002705A6"/>
    <w:rsid w:val="00270659"/>
    <w:rsid w:val="00277B5A"/>
    <w:rsid w:val="00277EC9"/>
    <w:rsid w:val="00282636"/>
    <w:rsid w:val="002870B2"/>
    <w:rsid w:val="002901C5"/>
    <w:rsid w:val="002911E5"/>
    <w:rsid w:val="00296E02"/>
    <w:rsid w:val="002A0074"/>
    <w:rsid w:val="002A0BA7"/>
    <w:rsid w:val="002A16B8"/>
    <w:rsid w:val="002A4241"/>
    <w:rsid w:val="002A429A"/>
    <w:rsid w:val="002B329D"/>
    <w:rsid w:val="002B46EF"/>
    <w:rsid w:val="002B60D7"/>
    <w:rsid w:val="002C0CF6"/>
    <w:rsid w:val="002C1DE5"/>
    <w:rsid w:val="002C2462"/>
    <w:rsid w:val="002C2531"/>
    <w:rsid w:val="002C26EF"/>
    <w:rsid w:val="002C3804"/>
    <w:rsid w:val="002C4D04"/>
    <w:rsid w:val="002D194D"/>
    <w:rsid w:val="002D1BC6"/>
    <w:rsid w:val="002D347E"/>
    <w:rsid w:val="002D5C5C"/>
    <w:rsid w:val="002D6D9D"/>
    <w:rsid w:val="002E0A5A"/>
    <w:rsid w:val="002E0CCF"/>
    <w:rsid w:val="002E3074"/>
    <w:rsid w:val="002E341D"/>
    <w:rsid w:val="002E4BE4"/>
    <w:rsid w:val="002F09D3"/>
    <w:rsid w:val="002F29FB"/>
    <w:rsid w:val="002F339D"/>
    <w:rsid w:val="002F3418"/>
    <w:rsid w:val="002F4889"/>
    <w:rsid w:val="002F5D99"/>
    <w:rsid w:val="003033C4"/>
    <w:rsid w:val="00303ADC"/>
    <w:rsid w:val="00304DF6"/>
    <w:rsid w:val="00304E73"/>
    <w:rsid w:val="003056D2"/>
    <w:rsid w:val="00310031"/>
    <w:rsid w:val="00314818"/>
    <w:rsid w:val="00314905"/>
    <w:rsid w:val="00320A49"/>
    <w:rsid w:val="00321F9D"/>
    <w:rsid w:val="00323100"/>
    <w:rsid w:val="0032371D"/>
    <w:rsid w:val="00324480"/>
    <w:rsid w:val="00330BA6"/>
    <w:rsid w:val="00330DE6"/>
    <w:rsid w:val="00330F0E"/>
    <w:rsid w:val="00331FEE"/>
    <w:rsid w:val="003326B0"/>
    <w:rsid w:val="00332819"/>
    <w:rsid w:val="00333519"/>
    <w:rsid w:val="00337C96"/>
    <w:rsid w:val="00344A72"/>
    <w:rsid w:val="00344FA9"/>
    <w:rsid w:val="00346850"/>
    <w:rsid w:val="003522C0"/>
    <w:rsid w:val="00352662"/>
    <w:rsid w:val="00352C60"/>
    <w:rsid w:val="003578B8"/>
    <w:rsid w:val="00363989"/>
    <w:rsid w:val="003639DD"/>
    <w:rsid w:val="00365E0A"/>
    <w:rsid w:val="00372B85"/>
    <w:rsid w:val="00372DDD"/>
    <w:rsid w:val="00372F6A"/>
    <w:rsid w:val="003803B4"/>
    <w:rsid w:val="003824C4"/>
    <w:rsid w:val="00386717"/>
    <w:rsid w:val="00387EB9"/>
    <w:rsid w:val="00390733"/>
    <w:rsid w:val="003933F2"/>
    <w:rsid w:val="003A1A12"/>
    <w:rsid w:val="003B0DC2"/>
    <w:rsid w:val="003B1A74"/>
    <w:rsid w:val="003B3148"/>
    <w:rsid w:val="003C0652"/>
    <w:rsid w:val="003C0A0C"/>
    <w:rsid w:val="003C2443"/>
    <w:rsid w:val="003C25C5"/>
    <w:rsid w:val="003D3E60"/>
    <w:rsid w:val="003D5B32"/>
    <w:rsid w:val="003E0060"/>
    <w:rsid w:val="003E7EEC"/>
    <w:rsid w:val="003F2AC7"/>
    <w:rsid w:val="003F2FEA"/>
    <w:rsid w:val="003F3480"/>
    <w:rsid w:val="003F57A6"/>
    <w:rsid w:val="003F57BF"/>
    <w:rsid w:val="003F7284"/>
    <w:rsid w:val="00403CA9"/>
    <w:rsid w:val="004045F8"/>
    <w:rsid w:val="00404D0E"/>
    <w:rsid w:val="00411A50"/>
    <w:rsid w:val="00413F30"/>
    <w:rsid w:val="00414437"/>
    <w:rsid w:val="0041579D"/>
    <w:rsid w:val="00416ACE"/>
    <w:rsid w:val="004249B9"/>
    <w:rsid w:val="00432FDA"/>
    <w:rsid w:val="00433C1F"/>
    <w:rsid w:val="004504C9"/>
    <w:rsid w:val="004549F7"/>
    <w:rsid w:val="00455B15"/>
    <w:rsid w:val="00460486"/>
    <w:rsid w:val="004613B6"/>
    <w:rsid w:val="00464075"/>
    <w:rsid w:val="004674F4"/>
    <w:rsid w:val="00472F22"/>
    <w:rsid w:val="004740E0"/>
    <w:rsid w:val="00477538"/>
    <w:rsid w:val="00480CC4"/>
    <w:rsid w:val="004857A7"/>
    <w:rsid w:val="00485B86"/>
    <w:rsid w:val="00485E4D"/>
    <w:rsid w:val="00490570"/>
    <w:rsid w:val="00490FC6"/>
    <w:rsid w:val="00494BCD"/>
    <w:rsid w:val="0049530E"/>
    <w:rsid w:val="00495AD7"/>
    <w:rsid w:val="004A0A6B"/>
    <w:rsid w:val="004A686C"/>
    <w:rsid w:val="004A6CBC"/>
    <w:rsid w:val="004A6DA7"/>
    <w:rsid w:val="004A7773"/>
    <w:rsid w:val="004B021F"/>
    <w:rsid w:val="004B1080"/>
    <w:rsid w:val="004B1F5B"/>
    <w:rsid w:val="004B214C"/>
    <w:rsid w:val="004B4584"/>
    <w:rsid w:val="004B4A8E"/>
    <w:rsid w:val="004C11B4"/>
    <w:rsid w:val="004C4F24"/>
    <w:rsid w:val="004C5D05"/>
    <w:rsid w:val="004E06D5"/>
    <w:rsid w:val="004E46AC"/>
    <w:rsid w:val="004E5616"/>
    <w:rsid w:val="004F365D"/>
    <w:rsid w:val="004F632D"/>
    <w:rsid w:val="004F7048"/>
    <w:rsid w:val="005020AF"/>
    <w:rsid w:val="00504416"/>
    <w:rsid w:val="00507753"/>
    <w:rsid w:val="00510844"/>
    <w:rsid w:val="00511984"/>
    <w:rsid w:val="00512275"/>
    <w:rsid w:val="00512455"/>
    <w:rsid w:val="005132C0"/>
    <w:rsid w:val="00514B67"/>
    <w:rsid w:val="00523EE1"/>
    <w:rsid w:val="005246E5"/>
    <w:rsid w:val="005351AE"/>
    <w:rsid w:val="00535342"/>
    <w:rsid w:val="00537150"/>
    <w:rsid w:val="0053788E"/>
    <w:rsid w:val="00541E77"/>
    <w:rsid w:val="00550EAA"/>
    <w:rsid w:val="00554DE9"/>
    <w:rsid w:val="00556D5A"/>
    <w:rsid w:val="00562478"/>
    <w:rsid w:val="00562B91"/>
    <w:rsid w:val="005641F0"/>
    <w:rsid w:val="005646FC"/>
    <w:rsid w:val="005660CD"/>
    <w:rsid w:val="0057169F"/>
    <w:rsid w:val="005718DB"/>
    <w:rsid w:val="00571B08"/>
    <w:rsid w:val="00571DCF"/>
    <w:rsid w:val="00576EB3"/>
    <w:rsid w:val="00583082"/>
    <w:rsid w:val="005845FE"/>
    <w:rsid w:val="005856F3"/>
    <w:rsid w:val="0058756B"/>
    <w:rsid w:val="005930D9"/>
    <w:rsid w:val="00594D14"/>
    <w:rsid w:val="00597304"/>
    <w:rsid w:val="005A7A75"/>
    <w:rsid w:val="005B2415"/>
    <w:rsid w:val="005B2985"/>
    <w:rsid w:val="005B2F94"/>
    <w:rsid w:val="005C0970"/>
    <w:rsid w:val="005C0DBB"/>
    <w:rsid w:val="005C341B"/>
    <w:rsid w:val="005C4195"/>
    <w:rsid w:val="005D232A"/>
    <w:rsid w:val="005D332D"/>
    <w:rsid w:val="005D5C47"/>
    <w:rsid w:val="005D71B4"/>
    <w:rsid w:val="005E0D88"/>
    <w:rsid w:val="005E499E"/>
    <w:rsid w:val="005F040F"/>
    <w:rsid w:val="005F120D"/>
    <w:rsid w:val="005F1DC4"/>
    <w:rsid w:val="005F2767"/>
    <w:rsid w:val="005F6F2E"/>
    <w:rsid w:val="006001D6"/>
    <w:rsid w:val="00603123"/>
    <w:rsid w:val="00604713"/>
    <w:rsid w:val="00607502"/>
    <w:rsid w:val="00610B8D"/>
    <w:rsid w:val="0061425E"/>
    <w:rsid w:val="006152B2"/>
    <w:rsid w:val="00620B04"/>
    <w:rsid w:val="00621769"/>
    <w:rsid w:val="00624C8F"/>
    <w:rsid w:val="006306B0"/>
    <w:rsid w:val="006309E2"/>
    <w:rsid w:val="00631A88"/>
    <w:rsid w:val="00633C6D"/>
    <w:rsid w:val="006347A8"/>
    <w:rsid w:val="00635B22"/>
    <w:rsid w:val="00640244"/>
    <w:rsid w:val="006426A1"/>
    <w:rsid w:val="00644347"/>
    <w:rsid w:val="006450B9"/>
    <w:rsid w:val="006479EE"/>
    <w:rsid w:val="00651E7E"/>
    <w:rsid w:val="00653358"/>
    <w:rsid w:val="00654630"/>
    <w:rsid w:val="00654F09"/>
    <w:rsid w:val="006616B8"/>
    <w:rsid w:val="00664046"/>
    <w:rsid w:val="00664D55"/>
    <w:rsid w:val="00670CC3"/>
    <w:rsid w:val="006741DB"/>
    <w:rsid w:val="006747BB"/>
    <w:rsid w:val="0068709E"/>
    <w:rsid w:val="006875F0"/>
    <w:rsid w:val="006932C3"/>
    <w:rsid w:val="006A0FD0"/>
    <w:rsid w:val="006A47B4"/>
    <w:rsid w:val="006A4ABE"/>
    <w:rsid w:val="006A5733"/>
    <w:rsid w:val="006A6C7F"/>
    <w:rsid w:val="006B5C6A"/>
    <w:rsid w:val="006C0FFF"/>
    <w:rsid w:val="006C46A6"/>
    <w:rsid w:val="006C4E52"/>
    <w:rsid w:val="006C51F3"/>
    <w:rsid w:val="006D04DF"/>
    <w:rsid w:val="006D4DAA"/>
    <w:rsid w:val="006D5E36"/>
    <w:rsid w:val="006E0B52"/>
    <w:rsid w:val="006E227A"/>
    <w:rsid w:val="006E4DBF"/>
    <w:rsid w:val="006E6C8A"/>
    <w:rsid w:val="006F2992"/>
    <w:rsid w:val="006F349F"/>
    <w:rsid w:val="006F3560"/>
    <w:rsid w:val="0070183D"/>
    <w:rsid w:val="00702731"/>
    <w:rsid w:val="00705F98"/>
    <w:rsid w:val="00711933"/>
    <w:rsid w:val="00716A28"/>
    <w:rsid w:val="0072087B"/>
    <w:rsid w:val="00731B16"/>
    <w:rsid w:val="00731C22"/>
    <w:rsid w:val="00735BFE"/>
    <w:rsid w:val="00737136"/>
    <w:rsid w:val="00740A9E"/>
    <w:rsid w:val="0074116E"/>
    <w:rsid w:val="007442C1"/>
    <w:rsid w:val="00754354"/>
    <w:rsid w:val="00754C2C"/>
    <w:rsid w:val="00757271"/>
    <w:rsid w:val="00757BD5"/>
    <w:rsid w:val="00764A27"/>
    <w:rsid w:val="00771AB0"/>
    <w:rsid w:val="0077229A"/>
    <w:rsid w:val="00777AB2"/>
    <w:rsid w:val="00783352"/>
    <w:rsid w:val="00784EB5"/>
    <w:rsid w:val="007A0DA1"/>
    <w:rsid w:val="007A24F3"/>
    <w:rsid w:val="007A458D"/>
    <w:rsid w:val="007A61FC"/>
    <w:rsid w:val="007A67F5"/>
    <w:rsid w:val="007B0889"/>
    <w:rsid w:val="007B7CB7"/>
    <w:rsid w:val="007C06F3"/>
    <w:rsid w:val="007C0DE9"/>
    <w:rsid w:val="007C31F3"/>
    <w:rsid w:val="007C4D0E"/>
    <w:rsid w:val="007C5A7E"/>
    <w:rsid w:val="007C6E1B"/>
    <w:rsid w:val="007D2C24"/>
    <w:rsid w:val="007D5D93"/>
    <w:rsid w:val="007E1F7B"/>
    <w:rsid w:val="007E35E1"/>
    <w:rsid w:val="007E7AD6"/>
    <w:rsid w:val="007F06E0"/>
    <w:rsid w:val="007F0881"/>
    <w:rsid w:val="007F51DC"/>
    <w:rsid w:val="007F55A0"/>
    <w:rsid w:val="007F5A09"/>
    <w:rsid w:val="0080715F"/>
    <w:rsid w:val="008074A5"/>
    <w:rsid w:val="00816936"/>
    <w:rsid w:val="0082144F"/>
    <w:rsid w:val="00821E2B"/>
    <w:rsid w:val="008226BB"/>
    <w:rsid w:val="00823ECB"/>
    <w:rsid w:val="008259F1"/>
    <w:rsid w:val="00827EE1"/>
    <w:rsid w:val="008301F8"/>
    <w:rsid w:val="008317DC"/>
    <w:rsid w:val="00831B4B"/>
    <w:rsid w:val="008339D8"/>
    <w:rsid w:val="00834C49"/>
    <w:rsid w:val="0083542F"/>
    <w:rsid w:val="008400DD"/>
    <w:rsid w:val="00840CB7"/>
    <w:rsid w:val="00852EF4"/>
    <w:rsid w:val="008533A5"/>
    <w:rsid w:val="00857972"/>
    <w:rsid w:val="00861683"/>
    <w:rsid w:val="00862537"/>
    <w:rsid w:val="00863263"/>
    <w:rsid w:val="00863736"/>
    <w:rsid w:val="00865C72"/>
    <w:rsid w:val="0087642B"/>
    <w:rsid w:val="00880602"/>
    <w:rsid w:val="0088117E"/>
    <w:rsid w:val="008818FC"/>
    <w:rsid w:val="0088349D"/>
    <w:rsid w:val="00885BC1"/>
    <w:rsid w:val="00886416"/>
    <w:rsid w:val="008866C8"/>
    <w:rsid w:val="00887E2C"/>
    <w:rsid w:val="00890C37"/>
    <w:rsid w:val="00892340"/>
    <w:rsid w:val="008C0819"/>
    <w:rsid w:val="008C0FB2"/>
    <w:rsid w:val="008C50C2"/>
    <w:rsid w:val="008C515C"/>
    <w:rsid w:val="008C5960"/>
    <w:rsid w:val="008C5DF2"/>
    <w:rsid w:val="008C5E2E"/>
    <w:rsid w:val="008D19F8"/>
    <w:rsid w:val="008D2A0E"/>
    <w:rsid w:val="008D4A39"/>
    <w:rsid w:val="008E2E51"/>
    <w:rsid w:val="008E7118"/>
    <w:rsid w:val="008E733E"/>
    <w:rsid w:val="008F1A22"/>
    <w:rsid w:val="008F37E1"/>
    <w:rsid w:val="008F4491"/>
    <w:rsid w:val="00900BF6"/>
    <w:rsid w:val="00905CDD"/>
    <w:rsid w:val="009076EE"/>
    <w:rsid w:val="00910B10"/>
    <w:rsid w:val="009122E6"/>
    <w:rsid w:val="00915738"/>
    <w:rsid w:val="00920988"/>
    <w:rsid w:val="00923C49"/>
    <w:rsid w:val="00925AFA"/>
    <w:rsid w:val="00925DC9"/>
    <w:rsid w:val="0092628B"/>
    <w:rsid w:val="00926EB3"/>
    <w:rsid w:val="00932478"/>
    <w:rsid w:val="00933714"/>
    <w:rsid w:val="00935599"/>
    <w:rsid w:val="009434F2"/>
    <w:rsid w:val="00943BDA"/>
    <w:rsid w:val="0094420F"/>
    <w:rsid w:val="009442EE"/>
    <w:rsid w:val="00945F5C"/>
    <w:rsid w:val="00946768"/>
    <w:rsid w:val="0095310A"/>
    <w:rsid w:val="0095419C"/>
    <w:rsid w:val="0096102D"/>
    <w:rsid w:val="009613B3"/>
    <w:rsid w:val="009617BC"/>
    <w:rsid w:val="0096575A"/>
    <w:rsid w:val="00966E0E"/>
    <w:rsid w:val="00970395"/>
    <w:rsid w:val="0097404F"/>
    <w:rsid w:val="0098227A"/>
    <w:rsid w:val="009830EF"/>
    <w:rsid w:val="009838CE"/>
    <w:rsid w:val="009868FF"/>
    <w:rsid w:val="009919CA"/>
    <w:rsid w:val="00993BE9"/>
    <w:rsid w:val="009B0271"/>
    <w:rsid w:val="009B38AC"/>
    <w:rsid w:val="009C4E5B"/>
    <w:rsid w:val="009C724E"/>
    <w:rsid w:val="009D18C1"/>
    <w:rsid w:val="009D303C"/>
    <w:rsid w:val="009D6399"/>
    <w:rsid w:val="009D7A74"/>
    <w:rsid w:val="009E0AC6"/>
    <w:rsid w:val="009E3C89"/>
    <w:rsid w:val="009F142F"/>
    <w:rsid w:val="009F35E3"/>
    <w:rsid w:val="009F3B3E"/>
    <w:rsid w:val="009F48B8"/>
    <w:rsid w:val="009F6689"/>
    <w:rsid w:val="00A0162E"/>
    <w:rsid w:val="00A048E8"/>
    <w:rsid w:val="00A04EA0"/>
    <w:rsid w:val="00A127E6"/>
    <w:rsid w:val="00A21540"/>
    <w:rsid w:val="00A22ABF"/>
    <w:rsid w:val="00A24D7A"/>
    <w:rsid w:val="00A2618F"/>
    <w:rsid w:val="00A30228"/>
    <w:rsid w:val="00A30CC2"/>
    <w:rsid w:val="00A329D0"/>
    <w:rsid w:val="00A41F51"/>
    <w:rsid w:val="00A5798A"/>
    <w:rsid w:val="00A60D77"/>
    <w:rsid w:val="00A62207"/>
    <w:rsid w:val="00A7599A"/>
    <w:rsid w:val="00A9236A"/>
    <w:rsid w:val="00A95DAC"/>
    <w:rsid w:val="00AA1C00"/>
    <w:rsid w:val="00AA3071"/>
    <w:rsid w:val="00AA65C8"/>
    <w:rsid w:val="00AA76BF"/>
    <w:rsid w:val="00AB0254"/>
    <w:rsid w:val="00AB0D55"/>
    <w:rsid w:val="00AB1C56"/>
    <w:rsid w:val="00AC0F82"/>
    <w:rsid w:val="00AD3F40"/>
    <w:rsid w:val="00AD6691"/>
    <w:rsid w:val="00AE0422"/>
    <w:rsid w:val="00AE0A82"/>
    <w:rsid w:val="00AE58C7"/>
    <w:rsid w:val="00AE78DA"/>
    <w:rsid w:val="00AF1F19"/>
    <w:rsid w:val="00AF2031"/>
    <w:rsid w:val="00AF52B1"/>
    <w:rsid w:val="00AF756A"/>
    <w:rsid w:val="00B0005A"/>
    <w:rsid w:val="00B107F0"/>
    <w:rsid w:val="00B161E7"/>
    <w:rsid w:val="00B16D2D"/>
    <w:rsid w:val="00B230DA"/>
    <w:rsid w:val="00B25799"/>
    <w:rsid w:val="00B25BC4"/>
    <w:rsid w:val="00B326FE"/>
    <w:rsid w:val="00B33F49"/>
    <w:rsid w:val="00B34592"/>
    <w:rsid w:val="00B37CFA"/>
    <w:rsid w:val="00B41CE9"/>
    <w:rsid w:val="00B47CE8"/>
    <w:rsid w:val="00B53EBB"/>
    <w:rsid w:val="00B55B4B"/>
    <w:rsid w:val="00B64986"/>
    <w:rsid w:val="00B67F23"/>
    <w:rsid w:val="00B71FE7"/>
    <w:rsid w:val="00B74084"/>
    <w:rsid w:val="00B75875"/>
    <w:rsid w:val="00B76E7E"/>
    <w:rsid w:val="00B80800"/>
    <w:rsid w:val="00B80A7B"/>
    <w:rsid w:val="00B81E9A"/>
    <w:rsid w:val="00B84F16"/>
    <w:rsid w:val="00B938CA"/>
    <w:rsid w:val="00B94ECF"/>
    <w:rsid w:val="00B957BD"/>
    <w:rsid w:val="00B95DA3"/>
    <w:rsid w:val="00B96124"/>
    <w:rsid w:val="00BA10D8"/>
    <w:rsid w:val="00BA3989"/>
    <w:rsid w:val="00BB00BA"/>
    <w:rsid w:val="00BB6A05"/>
    <w:rsid w:val="00BB7A15"/>
    <w:rsid w:val="00BC1DFE"/>
    <w:rsid w:val="00BC32A5"/>
    <w:rsid w:val="00BC32DB"/>
    <w:rsid w:val="00BC3A3F"/>
    <w:rsid w:val="00BC426C"/>
    <w:rsid w:val="00BC50E7"/>
    <w:rsid w:val="00BC6008"/>
    <w:rsid w:val="00BC6495"/>
    <w:rsid w:val="00BC70EE"/>
    <w:rsid w:val="00BC724A"/>
    <w:rsid w:val="00BD1937"/>
    <w:rsid w:val="00BD34A4"/>
    <w:rsid w:val="00BD3E14"/>
    <w:rsid w:val="00BD3E7A"/>
    <w:rsid w:val="00BE2538"/>
    <w:rsid w:val="00BE4459"/>
    <w:rsid w:val="00BE4DF7"/>
    <w:rsid w:val="00BE57C0"/>
    <w:rsid w:val="00BE67B3"/>
    <w:rsid w:val="00BF2ABC"/>
    <w:rsid w:val="00BF3D07"/>
    <w:rsid w:val="00C00C6B"/>
    <w:rsid w:val="00C00E9D"/>
    <w:rsid w:val="00C04A1A"/>
    <w:rsid w:val="00C05385"/>
    <w:rsid w:val="00C06242"/>
    <w:rsid w:val="00C12E19"/>
    <w:rsid w:val="00C246FB"/>
    <w:rsid w:val="00C31453"/>
    <w:rsid w:val="00C3188D"/>
    <w:rsid w:val="00C33AD5"/>
    <w:rsid w:val="00C36BF0"/>
    <w:rsid w:val="00C3771B"/>
    <w:rsid w:val="00C4058A"/>
    <w:rsid w:val="00C4389B"/>
    <w:rsid w:val="00C541D1"/>
    <w:rsid w:val="00C564FE"/>
    <w:rsid w:val="00C61789"/>
    <w:rsid w:val="00C749D9"/>
    <w:rsid w:val="00C76794"/>
    <w:rsid w:val="00C77626"/>
    <w:rsid w:val="00C8171B"/>
    <w:rsid w:val="00C825F2"/>
    <w:rsid w:val="00C834E1"/>
    <w:rsid w:val="00C83C74"/>
    <w:rsid w:val="00C92429"/>
    <w:rsid w:val="00C92705"/>
    <w:rsid w:val="00C97DF0"/>
    <w:rsid w:val="00CA138D"/>
    <w:rsid w:val="00CA4726"/>
    <w:rsid w:val="00CA478B"/>
    <w:rsid w:val="00CA4CC2"/>
    <w:rsid w:val="00CA4CF8"/>
    <w:rsid w:val="00CB2662"/>
    <w:rsid w:val="00CB34DC"/>
    <w:rsid w:val="00CB4B72"/>
    <w:rsid w:val="00CB589A"/>
    <w:rsid w:val="00CB5EBD"/>
    <w:rsid w:val="00CC0798"/>
    <w:rsid w:val="00CC4D58"/>
    <w:rsid w:val="00CC5894"/>
    <w:rsid w:val="00CC7A47"/>
    <w:rsid w:val="00CD179E"/>
    <w:rsid w:val="00CD2BB6"/>
    <w:rsid w:val="00CD2D12"/>
    <w:rsid w:val="00CD32FD"/>
    <w:rsid w:val="00CD4E7D"/>
    <w:rsid w:val="00CE0AB2"/>
    <w:rsid w:val="00CE24DE"/>
    <w:rsid w:val="00CE6C25"/>
    <w:rsid w:val="00CF38E1"/>
    <w:rsid w:val="00CF5440"/>
    <w:rsid w:val="00CF6E23"/>
    <w:rsid w:val="00D05D13"/>
    <w:rsid w:val="00D10125"/>
    <w:rsid w:val="00D119EE"/>
    <w:rsid w:val="00D128A7"/>
    <w:rsid w:val="00D1642C"/>
    <w:rsid w:val="00D17AB2"/>
    <w:rsid w:val="00D2457B"/>
    <w:rsid w:val="00D34323"/>
    <w:rsid w:val="00D35B4D"/>
    <w:rsid w:val="00D36DB2"/>
    <w:rsid w:val="00D37B1E"/>
    <w:rsid w:val="00D41214"/>
    <w:rsid w:val="00D41E19"/>
    <w:rsid w:val="00D442B8"/>
    <w:rsid w:val="00D47396"/>
    <w:rsid w:val="00D552F3"/>
    <w:rsid w:val="00D57F4D"/>
    <w:rsid w:val="00D64F77"/>
    <w:rsid w:val="00D71E9E"/>
    <w:rsid w:val="00D731E4"/>
    <w:rsid w:val="00D74727"/>
    <w:rsid w:val="00D80026"/>
    <w:rsid w:val="00D80566"/>
    <w:rsid w:val="00D86A6D"/>
    <w:rsid w:val="00D93A45"/>
    <w:rsid w:val="00D95D66"/>
    <w:rsid w:val="00DA2A69"/>
    <w:rsid w:val="00DA7FF2"/>
    <w:rsid w:val="00DB1E1C"/>
    <w:rsid w:val="00DB4956"/>
    <w:rsid w:val="00DB4C45"/>
    <w:rsid w:val="00DB4E2F"/>
    <w:rsid w:val="00DB5016"/>
    <w:rsid w:val="00DB731A"/>
    <w:rsid w:val="00DB7A66"/>
    <w:rsid w:val="00DC01C7"/>
    <w:rsid w:val="00DC0D95"/>
    <w:rsid w:val="00DC7DCD"/>
    <w:rsid w:val="00DD6B83"/>
    <w:rsid w:val="00DE08C4"/>
    <w:rsid w:val="00DE0B0F"/>
    <w:rsid w:val="00DE3C8B"/>
    <w:rsid w:val="00DE6825"/>
    <w:rsid w:val="00DF05C7"/>
    <w:rsid w:val="00DF1EF3"/>
    <w:rsid w:val="00DF4CC2"/>
    <w:rsid w:val="00DF549C"/>
    <w:rsid w:val="00DF58C2"/>
    <w:rsid w:val="00DF5924"/>
    <w:rsid w:val="00DF7DE8"/>
    <w:rsid w:val="00E0228F"/>
    <w:rsid w:val="00E11E00"/>
    <w:rsid w:val="00E213DE"/>
    <w:rsid w:val="00E219C6"/>
    <w:rsid w:val="00E223B9"/>
    <w:rsid w:val="00E22DFA"/>
    <w:rsid w:val="00E22EAF"/>
    <w:rsid w:val="00E23050"/>
    <w:rsid w:val="00E26E97"/>
    <w:rsid w:val="00E27433"/>
    <w:rsid w:val="00E30F2B"/>
    <w:rsid w:val="00E332CC"/>
    <w:rsid w:val="00E361B9"/>
    <w:rsid w:val="00E4022D"/>
    <w:rsid w:val="00E51E21"/>
    <w:rsid w:val="00E53B04"/>
    <w:rsid w:val="00E54C9B"/>
    <w:rsid w:val="00E578E3"/>
    <w:rsid w:val="00E605D5"/>
    <w:rsid w:val="00E612B5"/>
    <w:rsid w:val="00E7365E"/>
    <w:rsid w:val="00E82928"/>
    <w:rsid w:val="00E854F6"/>
    <w:rsid w:val="00E874D0"/>
    <w:rsid w:val="00E9114F"/>
    <w:rsid w:val="00E93B48"/>
    <w:rsid w:val="00EA1DED"/>
    <w:rsid w:val="00EA30BE"/>
    <w:rsid w:val="00EB00AF"/>
    <w:rsid w:val="00EB38FC"/>
    <w:rsid w:val="00EB4D02"/>
    <w:rsid w:val="00EB504E"/>
    <w:rsid w:val="00EC0157"/>
    <w:rsid w:val="00EC203D"/>
    <w:rsid w:val="00EC21E9"/>
    <w:rsid w:val="00EC2973"/>
    <w:rsid w:val="00EC2B06"/>
    <w:rsid w:val="00EC50E9"/>
    <w:rsid w:val="00ED08FB"/>
    <w:rsid w:val="00ED2EE0"/>
    <w:rsid w:val="00ED44B6"/>
    <w:rsid w:val="00EE279B"/>
    <w:rsid w:val="00EE5FEF"/>
    <w:rsid w:val="00EF0928"/>
    <w:rsid w:val="00EF209C"/>
    <w:rsid w:val="00EF3110"/>
    <w:rsid w:val="00F011F8"/>
    <w:rsid w:val="00F03182"/>
    <w:rsid w:val="00F07C13"/>
    <w:rsid w:val="00F13BB2"/>
    <w:rsid w:val="00F14558"/>
    <w:rsid w:val="00F15396"/>
    <w:rsid w:val="00F17C79"/>
    <w:rsid w:val="00F20106"/>
    <w:rsid w:val="00F20AF3"/>
    <w:rsid w:val="00F215FC"/>
    <w:rsid w:val="00F22D6F"/>
    <w:rsid w:val="00F23CF7"/>
    <w:rsid w:val="00F24AA7"/>
    <w:rsid w:val="00F26EEF"/>
    <w:rsid w:val="00F31835"/>
    <w:rsid w:val="00F32852"/>
    <w:rsid w:val="00F46743"/>
    <w:rsid w:val="00F50F01"/>
    <w:rsid w:val="00F52800"/>
    <w:rsid w:val="00F5329A"/>
    <w:rsid w:val="00F72C04"/>
    <w:rsid w:val="00F8316E"/>
    <w:rsid w:val="00F83FD1"/>
    <w:rsid w:val="00F8470F"/>
    <w:rsid w:val="00F90093"/>
    <w:rsid w:val="00F923D3"/>
    <w:rsid w:val="00F92E76"/>
    <w:rsid w:val="00F96CB7"/>
    <w:rsid w:val="00FA0816"/>
    <w:rsid w:val="00FA41E3"/>
    <w:rsid w:val="00FA4EB9"/>
    <w:rsid w:val="00FA5962"/>
    <w:rsid w:val="00FB495A"/>
    <w:rsid w:val="00FB4B2C"/>
    <w:rsid w:val="00FC392A"/>
    <w:rsid w:val="00FC56A5"/>
    <w:rsid w:val="00FC76D9"/>
    <w:rsid w:val="00FD1621"/>
    <w:rsid w:val="00FD2B4D"/>
    <w:rsid w:val="00FE0362"/>
    <w:rsid w:val="00FE077B"/>
    <w:rsid w:val="00FE0C8D"/>
    <w:rsid w:val="00FE44FF"/>
    <w:rsid w:val="00FE4545"/>
    <w:rsid w:val="00FE534A"/>
    <w:rsid w:val="00FE780F"/>
    <w:rsid w:val="00FF3478"/>
    <w:rsid w:val="00FF3A0D"/>
    <w:rsid w:val="00FF7C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8B9D8"/>
  <w15:docId w15:val="{DD294F36-01B2-4DD2-9090-20AB019F8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2705"/>
    <w:pPr>
      <w:suppressAutoHyphens/>
      <w:spacing w:after="120" w:line="280" w:lineRule="atLeast"/>
      <w:ind w:firstLine="504"/>
    </w:pPr>
    <w:rPr>
      <w:sz w:val="22"/>
      <w:szCs w:val="22"/>
      <w:lang w:val="en-US" w:eastAsia="en-US"/>
    </w:rPr>
  </w:style>
  <w:style w:type="paragraph" w:styleId="Heading1">
    <w:name w:val="heading 1"/>
    <w:next w:val="NormalNI"/>
    <w:qFormat/>
    <w:rsid w:val="009F6689"/>
    <w:pPr>
      <w:keepNext/>
      <w:pageBreakBefore/>
      <w:spacing w:after="480"/>
      <w:jc w:val="center"/>
      <w:outlineLvl w:val="0"/>
    </w:pPr>
    <w:rPr>
      <w:rFonts w:ascii="Arial" w:hAnsi="Arial" w:cs="Arial"/>
      <w:b/>
      <w:bCs/>
      <w:spacing w:val="-10"/>
      <w:kern w:val="32"/>
      <w:sz w:val="28"/>
      <w:szCs w:val="32"/>
      <w:lang w:val="en-US" w:eastAsia="en-US"/>
    </w:rPr>
  </w:style>
  <w:style w:type="paragraph" w:styleId="Heading2">
    <w:name w:val="heading 2"/>
    <w:next w:val="Normal"/>
    <w:link w:val="Heading2Char"/>
    <w:qFormat/>
    <w:rsid w:val="00716A28"/>
    <w:pPr>
      <w:keepNext/>
      <w:numPr>
        <w:ilvl w:val="1"/>
        <w:numId w:val="29"/>
      </w:numPr>
      <w:spacing w:before="240" w:after="120"/>
      <w:outlineLvl w:val="1"/>
    </w:pPr>
    <w:rPr>
      <w:rFonts w:ascii="Arial" w:hAnsi="Arial" w:cs="Arial"/>
      <w:b/>
      <w:bCs/>
      <w:iCs/>
      <w:spacing w:val="-10"/>
      <w:sz w:val="28"/>
      <w:szCs w:val="32"/>
      <w:lang w:val="en-US" w:eastAsia="en-US"/>
    </w:rPr>
  </w:style>
  <w:style w:type="paragraph" w:styleId="Heading3">
    <w:name w:val="heading 3"/>
    <w:basedOn w:val="Heading2"/>
    <w:next w:val="NormalNI"/>
    <w:link w:val="Heading3Char"/>
    <w:qFormat/>
    <w:rsid w:val="00716A28"/>
    <w:pPr>
      <w:numPr>
        <w:ilvl w:val="2"/>
      </w:numPr>
      <w:outlineLvl w:val="2"/>
    </w:pPr>
    <w:rPr>
      <w:bCs w:val="0"/>
      <w:sz w:val="22"/>
      <w:szCs w:val="28"/>
    </w:rPr>
  </w:style>
  <w:style w:type="paragraph" w:styleId="Heading4">
    <w:name w:val="heading 4"/>
    <w:basedOn w:val="Heading3"/>
    <w:next w:val="NormalNI"/>
    <w:qFormat/>
    <w:rsid w:val="00372B85"/>
    <w:pPr>
      <w:numPr>
        <w:ilvl w:val="3"/>
      </w:numPr>
      <w:outlineLvl w:val="3"/>
    </w:pPr>
    <w:rPr>
      <w:bCs/>
      <w:szCs w:val="24"/>
    </w:rPr>
  </w:style>
  <w:style w:type="paragraph" w:styleId="Heading5">
    <w:name w:val="heading 5"/>
    <w:next w:val="Normal"/>
    <w:qFormat/>
    <w:rsid w:val="00333519"/>
    <w:pPr>
      <w:keepNext/>
      <w:numPr>
        <w:ilvl w:val="4"/>
        <w:numId w:val="29"/>
      </w:numPr>
      <w:spacing w:before="240" w:after="120" w:line="216" w:lineRule="auto"/>
      <w:outlineLvl w:val="4"/>
    </w:pPr>
    <w:rPr>
      <w:rFonts w:ascii="Lucida Sans Unicode" w:hAnsi="Lucida Sans Unicode"/>
      <w:bCs/>
      <w:iCs/>
      <w:spacing w:val="-10"/>
      <w:sz w:val="24"/>
      <w:szCs w:val="22"/>
      <w:lang w:val="en-US" w:eastAsia="en-US"/>
    </w:rPr>
  </w:style>
  <w:style w:type="paragraph" w:styleId="Heading6">
    <w:name w:val="heading 6"/>
    <w:basedOn w:val="Normal"/>
    <w:next w:val="Normal"/>
    <w:link w:val="Heading6Char"/>
    <w:semiHidden/>
    <w:unhideWhenUsed/>
    <w:qFormat/>
    <w:rsid w:val="003F57BF"/>
    <w:pPr>
      <w:keepNext/>
      <w:keepLines/>
      <w:numPr>
        <w:ilvl w:val="5"/>
        <w:numId w:val="2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330F0E"/>
    <w:pPr>
      <w:keepNext/>
      <w:keepLines/>
      <w:numPr>
        <w:ilvl w:val="6"/>
        <w:numId w:val="2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330F0E"/>
    <w:pPr>
      <w:keepNext/>
      <w:keepLines/>
      <w:numPr>
        <w:ilvl w:val="7"/>
        <w:numId w:val="2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330F0E"/>
    <w:pPr>
      <w:keepNext/>
      <w:keepLines/>
      <w:numPr>
        <w:ilvl w:val="8"/>
        <w:numId w:val="2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8317DC"/>
    <w:pPr>
      <w:tabs>
        <w:tab w:val="center" w:pos="4320"/>
        <w:tab w:val="right" w:pos="8640"/>
      </w:tabs>
      <w:spacing w:after="0"/>
      <w:ind w:firstLine="0"/>
    </w:pPr>
  </w:style>
  <w:style w:type="character" w:styleId="PageNumber">
    <w:name w:val="page number"/>
    <w:basedOn w:val="DefaultParagraphFont"/>
    <w:semiHidden/>
    <w:rsid w:val="008317DC"/>
  </w:style>
  <w:style w:type="paragraph" w:customStyle="1" w:styleId="Bullet1">
    <w:name w:val="Bullet 1"/>
    <w:basedOn w:val="Normal"/>
    <w:rsid w:val="008226BB"/>
    <w:pPr>
      <w:numPr>
        <w:numId w:val="2"/>
      </w:numPr>
    </w:pPr>
  </w:style>
  <w:style w:type="paragraph" w:styleId="Header">
    <w:name w:val="header"/>
    <w:basedOn w:val="Normal"/>
    <w:semiHidden/>
    <w:rsid w:val="008317DC"/>
    <w:pPr>
      <w:tabs>
        <w:tab w:val="center" w:pos="4320"/>
        <w:tab w:val="right" w:pos="8640"/>
      </w:tabs>
    </w:pPr>
  </w:style>
  <w:style w:type="paragraph" w:customStyle="1" w:styleId="Heading1Front">
    <w:name w:val="Heading 1 Front"/>
    <w:basedOn w:val="Heading1"/>
    <w:next w:val="Normal"/>
    <w:rsid w:val="001C622C"/>
    <w:rPr>
      <w:caps/>
    </w:rPr>
  </w:style>
  <w:style w:type="paragraph" w:customStyle="1" w:styleId="StyleNormalNICenteredLinespacingsingle">
    <w:name w:val="Style Normal NI + Centered Line spacing:  single"/>
    <w:basedOn w:val="NormalNI"/>
    <w:rsid w:val="0077229A"/>
    <w:pPr>
      <w:spacing w:after="0" w:line="240" w:lineRule="auto"/>
      <w:jc w:val="center"/>
    </w:pPr>
    <w:rPr>
      <w:szCs w:val="20"/>
    </w:rPr>
  </w:style>
  <w:style w:type="paragraph" w:customStyle="1" w:styleId="TableText">
    <w:name w:val="Table Text"/>
    <w:basedOn w:val="Normal"/>
    <w:rsid w:val="002F3418"/>
    <w:pPr>
      <w:spacing w:after="60" w:line="240" w:lineRule="auto"/>
      <w:ind w:firstLine="0"/>
    </w:pPr>
  </w:style>
  <w:style w:type="paragraph" w:styleId="DocumentMap">
    <w:name w:val="Document Map"/>
    <w:basedOn w:val="Normal"/>
    <w:semiHidden/>
    <w:rsid w:val="008317DC"/>
    <w:pPr>
      <w:shd w:val="clear" w:color="auto" w:fill="000080"/>
    </w:pPr>
    <w:rPr>
      <w:rFonts w:ascii="Tahoma" w:hAnsi="Tahoma" w:cs="Tahoma"/>
    </w:rPr>
  </w:style>
  <w:style w:type="paragraph" w:styleId="Caption">
    <w:name w:val="caption"/>
    <w:basedOn w:val="Normal"/>
    <w:next w:val="Normal"/>
    <w:uiPriority w:val="35"/>
    <w:qFormat/>
    <w:rsid w:val="008317DC"/>
    <w:pPr>
      <w:spacing w:before="120"/>
    </w:pPr>
    <w:rPr>
      <w:b/>
      <w:bCs/>
      <w:sz w:val="20"/>
      <w:szCs w:val="20"/>
    </w:rPr>
  </w:style>
  <w:style w:type="paragraph" w:customStyle="1" w:styleId="BlockQuotation">
    <w:name w:val="Block Quotation"/>
    <w:basedOn w:val="Normal"/>
    <w:next w:val="Normal"/>
    <w:rsid w:val="00072728"/>
    <w:pPr>
      <w:spacing w:after="240" w:line="240" w:lineRule="auto"/>
      <w:ind w:left="504" w:right="504" w:firstLine="0"/>
    </w:pPr>
  </w:style>
  <w:style w:type="paragraph" w:customStyle="1" w:styleId="NormalNI">
    <w:name w:val="Normal NI"/>
    <w:basedOn w:val="Normal"/>
    <w:next w:val="Normal"/>
    <w:rsid w:val="007F51DC"/>
    <w:pPr>
      <w:ind w:firstLine="0"/>
    </w:pPr>
  </w:style>
  <w:style w:type="paragraph" w:styleId="FootnoteText">
    <w:name w:val="footnote text"/>
    <w:basedOn w:val="Normal"/>
    <w:semiHidden/>
    <w:rsid w:val="00861683"/>
    <w:pPr>
      <w:spacing w:after="0"/>
      <w:ind w:left="432" w:hanging="432"/>
    </w:pPr>
    <w:rPr>
      <w:szCs w:val="20"/>
    </w:rPr>
  </w:style>
  <w:style w:type="paragraph" w:styleId="BalloonText">
    <w:name w:val="Balloon Text"/>
    <w:basedOn w:val="Normal"/>
    <w:semiHidden/>
    <w:rsid w:val="008317DC"/>
    <w:rPr>
      <w:rFonts w:ascii="Tahoma" w:hAnsi="Tahoma" w:cs="Tahoma"/>
      <w:sz w:val="16"/>
      <w:szCs w:val="16"/>
    </w:rPr>
  </w:style>
  <w:style w:type="paragraph" w:customStyle="1" w:styleId="TableBullet">
    <w:name w:val="Table Bullet"/>
    <w:basedOn w:val="TableText"/>
    <w:rsid w:val="005132C0"/>
    <w:pPr>
      <w:numPr>
        <w:numId w:val="1"/>
      </w:numPr>
    </w:pPr>
  </w:style>
  <w:style w:type="paragraph" w:customStyle="1" w:styleId="TableColumnHeading">
    <w:name w:val="Table Column Heading"/>
    <w:basedOn w:val="TableText"/>
    <w:rsid w:val="00E4022D"/>
    <w:rPr>
      <w:b/>
    </w:rPr>
  </w:style>
  <w:style w:type="character" w:styleId="CommentReference">
    <w:name w:val="annotation reference"/>
    <w:basedOn w:val="DefaultParagraphFont"/>
    <w:uiPriority w:val="99"/>
    <w:semiHidden/>
    <w:rsid w:val="007A61FC"/>
    <w:rPr>
      <w:sz w:val="16"/>
      <w:szCs w:val="16"/>
    </w:rPr>
  </w:style>
  <w:style w:type="paragraph" w:styleId="CommentText">
    <w:name w:val="annotation text"/>
    <w:basedOn w:val="Normal"/>
    <w:link w:val="CommentTextChar"/>
    <w:uiPriority w:val="99"/>
    <w:rsid w:val="00372F6A"/>
    <w:rPr>
      <w:szCs w:val="20"/>
    </w:rPr>
  </w:style>
  <w:style w:type="paragraph" w:styleId="CommentSubject">
    <w:name w:val="annotation subject"/>
    <w:basedOn w:val="CommentText"/>
    <w:next w:val="CommentText"/>
    <w:semiHidden/>
    <w:rsid w:val="008317DC"/>
    <w:rPr>
      <w:b/>
      <w:bCs/>
    </w:rPr>
  </w:style>
  <w:style w:type="table" w:styleId="TableGrid">
    <w:name w:val="Table Grid"/>
    <w:basedOn w:val="TableNormal"/>
    <w:semiHidden/>
    <w:rsid w:val="007A6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
    <w:name w:val="Image"/>
    <w:basedOn w:val="Normal"/>
    <w:next w:val="Normal"/>
    <w:rsid w:val="002F3418"/>
    <w:pPr>
      <w:spacing w:after="0" w:line="240" w:lineRule="auto"/>
      <w:ind w:firstLine="0"/>
    </w:pPr>
  </w:style>
  <w:style w:type="paragraph" w:customStyle="1" w:styleId="NumberedList">
    <w:name w:val="Numbered List"/>
    <w:basedOn w:val="Normal"/>
    <w:rsid w:val="00571B08"/>
    <w:pPr>
      <w:ind w:left="720" w:hanging="720"/>
    </w:pPr>
  </w:style>
  <w:style w:type="paragraph" w:customStyle="1" w:styleId="ReferenceList">
    <w:name w:val="Reference List"/>
    <w:basedOn w:val="Normal"/>
    <w:rsid w:val="009C724E"/>
    <w:pPr>
      <w:spacing w:after="0"/>
      <w:ind w:left="504" w:hanging="504"/>
    </w:pPr>
  </w:style>
  <w:style w:type="paragraph" w:customStyle="1" w:styleId="TableCaption">
    <w:name w:val="Table Caption"/>
    <w:basedOn w:val="FigureCaption"/>
    <w:next w:val="NormalNI"/>
    <w:rsid w:val="00512455"/>
    <w:pPr>
      <w:spacing w:after="240"/>
    </w:pPr>
  </w:style>
  <w:style w:type="paragraph" w:customStyle="1" w:styleId="FigureCaption">
    <w:name w:val="Figure Caption"/>
    <w:next w:val="Image"/>
    <w:rsid w:val="00512455"/>
    <w:pPr>
      <w:keepNext/>
      <w:spacing w:before="480" w:after="120"/>
      <w:ind w:left="1440" w:hanging="1440"/>
    </w:pPr>
    <w:rPr>
      <w:rFonts w:ascii="Arial" w:hAnsi="Arial"/>
      <w:b/>
      <w:spacing w:val="-10"/>
      <w:sz w:val="22"/>
      <w:szCs w:val="24"/>
      <w:lang w:val="en-US" w:eastAsia="en-US"/>
    </w:rPr>
  </w:style>
  <w:style w:type="paragraph" w:styleId="Title">
    <w:name w:val="Title"/>
    <w:basedOn w:val="Normal"/>
    <w:next w:val="SingleLine"/>
    <w:qFormat/>
    <w:rsid w:val="001063B6"/>
    <w:pPr>
      <w:keepLines/>
      <w:overflowPunct w:val="0"/>
      <w:autoSpaceDE w:val="0"/>
      <w:autoSpaceDN w:val="0"/>
      <w:adjustRightInd w:val="0"/>
      <w:spacing w:after="0"/>
      <w:ind w:firstLine="0"/>
      <w:jc w:val="center"/>
      <w:textAlignment w:val="baseline"/>
    </w:pPr>
    <w:rPr>
      <w:b/>
      <w:color w:val="000000"/>
      <w:sz w:val="52"/>
      <w:szCs w:val="20"/>
    </w:rPr>
  </w:style>
  <w:style w:type="character" w:styleId="FootnoteReference">
    <w:name w:val="footnote reference"/>
    <w:basedOn w:val="DefaultParagraphFont"/>
    <w:semiHidden/>
    <w:rsid w:val="00861683"/>
    <w:rPr>
      <w:vertAlign w:val="superscript"/>
    </w:rPr>
  </w:style>
  <w:style w:type="paragraph" w:customStyle="1" w:styleId="Source">
    <w:name w:val="Source"/>
    <w:basedOn w:val="NormalNI"/>
    <w:next w:val="Normal"/>
    <w:rsid w:val="006306B0"/>
    <w:pPr>
      <w:spacing w:before="120" w:after="480" w:line="240" w:lineRule="auto"/>
    </w:pPr>
  </w:style>
  <w:style w:type="paragraph" w:styleId="TOC1">
    <w:name w:val="toc 1"/>
    <w:basedOn w:val="Normal"/>
    <w:next w:val="Normal"/>
    <w:autoRedefine/>
    <w:uiPriority w:val="39"/>
    <w:rsid w:val="00CE6C25"/>
    <w:pPr>
      <w:ind w:firstLine="0"/>
    </w:pPr>
  </w:style>
  <w:style w:type="paragraph" w:styleId="TOC2">
    <w:name w:val="toc 2"/>
    <w:basedOn w:val="Normal"/>
    <w:next w:val="Normal"/>
    <w:autoRedefine/>
    <w:uiPriority w:val="39"/>
    <w:rsid w:val="00CE6C25"/>
    <w:pPr>
      <w:ind w:left="240"/>
    </w:pPr>
  </w:style>
  <w:style w:type="paragraph" w:styleId="TOC3">
    <w:name w:val="toc 3"/>
    <w:basedOn w:val="Normal"/>
    <w:next w:val="Normal"/>
    <w:autoRedefine/>
    <w:uiPriority w:val="39"/>
    <w:rsid w:val="00CE6C25"/>
    <w:pPr>
      <w:ind w:left="480"/>
    </w:pPr>
  </w:style>
  <w:style w:type="paragraph" w:customStyle="1" w:styleId="BoxCaption">
    <w:name w:val="Box Caption"/>
    <w:basedOn w:val="FigureCaption"/>
    <w:next w:val="NormalNI"/>
    <w:rsid w:val="00512455"/>
    <w:pPr>
      <w:spacing w:after="240"/>
      <w:ind w:left="576" w:hanging="576"/>
    </w:pPr>
  </w:style>
  <w:style w:type="paragraph" w:customStyle="1" w:styleId="BoxText">
    <w:name w:val="Box Text"/>
    <w:basedOn w:val="TableText"/>
    <w:rsid w:val="00B107F0"/>
  </w:style>
  <w:style w:type="paragraph" w:customStyle="1" w:styleId="BoxBullet">
    <w:name w:val="Box Bullet"/>
    <w:basedOn w:val="BoxText"/>
    <w:rsid w:val="00B95DA3"/>
    <w:pPr>
      <w:numPr>
        <w:numId w:val="18"/>
      </w:numPr>
    </w:pPr>
  </w:style>
  <w:style w:type="paragraph" w:styleId="NormalWeb">
    <w:name w:val="Normal (Web)"/>
    <w:basedOn w:val="Normal"/>
    <w:uiPriority w:val="99"/>
    <w:rsid w:val="009838CE"/>
    <w:pPr>
      <w:suppressAutoHyphens w:val="0"/>
      <w:spacing w:before="100" w:beforeAutospacing="1" w:after="100" w:afterAutospacing="1" w:line="240" w:lineRule="auto"/>
      <w:ind w:firstLine="0"/>
    </w:pPr>
    <w:rPr>
      <w:szCs w:val="24"/>
      <w:lang w:val="en-CA" w:eastAsia="en-CA"/>
    </w:rPr>
  </w:style>
  <w:style w:type="paragraph" w:customStyle="1" w:styleId="SingleLine">
    <w:name w:val="Single Line"/>
    <w:basedOn w:val="Normal"/>
    <w:rsid w:val="00282636"/>
    <w:pPr>
      <w:spacing w:after="0" w:line="360" w:lineRule="auto"/>
      <w:ind w:firstLine="0"/>
      <w:jc w:val="center"/>
    </w:pPr>
  </w:style>
  <w:style w:type="paragraph" w:styleId="BodyText">
    <w:name w:val="Body Text"/>
    <w:basedOn w:val="Normal"/>
    <w:next w:val="BodyTextFirstIndent"/>
    <w:link w:val="BodyTextChar"/>
    <w:rsid w:val="008C515C"/>
    <w:pPr>
      <w:suppressAutoHyphens w:val="0"/>
      <w:ind w:firstLine="0"/>
    </w:pPr>
    <w:rPr>
      <w:szCs w:val="20"/>
    </w:rPr>
  </w:style>
  <w:style w:type="character" w:customStyle="1" w:styleId="BodyTextChar">
    <w:name w:val="Body Text Char"/>
    <w:basedOn w:val="DefaultParagraphFont"/>
    <w:link w:val="BodyText"/>
    <w:rsid w:val="008C515C"/>
    <w:rPr>
      <w:sz w:val="22"/>
      <w:lang w:val="en-US" w:eastAsia="en-US"/>
    </w:rPr>
  </w:style>
  <w:style w:type="paragraph" w:styleId="BodyTextFirstIndent">
    <w:name w:val="Body Text First Indent"/>
    <w:basedOn w:val="BodyText"/>
    <w:link w:val="BodyTextFirstIndentChar"/>
    <w:rsid w:val="008C515C"/>
    <w:pPr>
      <w:suppressAutoHyphens/>
      <w:spacing w:line="480" w:lineRule="auto"/>
      <w:ind w:firstLine="360"/>
    </w:pPr>
    <w:rPr>
      <w:sz w:val="24"/>
      <w:szCs w:val="22"/>
    </w:rPr>
  </w:style>
  <w:style w:type="character" w:customStyle="1" w:styleId="BodyTextFirstIndentChar">
    <w:name w:val="Body Text First Indent Char"/>
    <w:basedOn w:val="BodyTextChar"/>
    <w:link w:val="BodyTextFirstIndent"/>
    <w:rsid w:val="008C515C"/>
    <w:rPr>
      <w:sz w:val="22"/>
      <w:lang w:val="en-US" w:eastAsia="en-US"/>
    </w:rPr>
  </w:style>
  <w:style w:type="paragraph" w:customStyle="1" w:styleId="NormalSingle">
    <w:name w:val="Normal Single"/>
    <w:basedOn w:val="Normal"/>
    <w:qFormat/>
    <w:rsid w:val="009F142F"/>
    <w:pPr>
      <w:spacing w:line="240" w:lineRule="auto"/>
      <w:ind w:firstLine="0"/>
    </w:pPr>
  </w:style>
  <w:style w:type="numbering" w:customStyle="1" w:styleId="Headings">
    <w:name w:val="Headings"/>
    <w:uiPriority w:val="99"/>
    <w:rsid w:val="003F57BF"/>
    <w:pPr>
      <w:numPr>
        <w:numId w:val="22"/>
      </w:numPr>
    </w:pPr>
  </w:style>
  <w:style w:type="character" w:customStyle="1" w:styleId="Heading6Char">
    <w:name w:val="Heading 6 Char"/>
    <w:basedOn w:val="DefaultParagraphFont"/>
    <w:link w:val="Heading6"/>
    <w:semiHidden/>
    <w:rsid w:val="003F57BF"/>
    <w:rPr>
      <w:rFonts w:asciiTheme="majorHAnsi" w:eastAsiaTheme="majorEastAsia" w:hAnsiTheme="majorHAnsi" w:cstheme="majorBidi"/>
      <w:i/>
      <w:iCs/>
      <w:color w:val="243F60" w:themeColor="accent1" w:themeShade="7F"/>
      <w:sz w:val="22"/>
      <w:szCs w:val="22"/>
      <w:lang w:val="en-US" w:eastAsia="en-US"/>
    </w:rPr>
  </w:style>
  <w:style w:type="character" w:customStyle="1" w:styleId="Heading7Char">
    <w:name w:val="Heading 7 Char"/>
    <w:basedOn w:val="DefaultParagraphFont"/>
    <w:link w:val="Heading7"/>
    <w:semiHidden/>
    <w:rsid w:val="00330F0E"/>
    <w:rPr>
      <w:rFonts w:asciiTheme="majorHAnsi" w:eastAsiaTheme="majorEastAsia" w:hAnsiTheme="majorHAnsi" w:cstheme="majorBidi"/>
      <w:i/>
      <w:iCs/>
      <w:color w:val="404040" w:themeColor="text1" w:themeTint="BF"/>
      <w:sz w:val="22"/>
      <w:szCs w:val="22"/>
      <w:lang w:val="en-US" w:eastAsia="en-US"/>
    </w:rPr>
  </w:style>
  <w:style w:type="character" w:customStyle="1" w:styleId="Heading8Char">
    <w:name w:val="Heading 8 Char"/>
    <w:basedOn w:val="DefaultParagraphFont"/>
    <w:link w:val="Heading8"/>
    <w:semiHidden/>
    <w:rsid w:val="00330F0E"/>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semiHidden/>
    <w:rsid w:val="00330F0E"/>
    <w:rPr>
      <w:rFonts w:asciiTheme="majorHAnsi" w:eastAsiaTheme="majorEastAsia" w:hAnsiTheme="majorHAnsi" w:cstheme="majorBidi"/>
      <w:i/>
      <w:iCs/>
      <w:color w:val="404040" w:themeColor="text1" w:themeTint="BF"/>
      <w:lang w:val="en-US" w:eastAsia="en-US"/>
    </w:rPr>
  </w:style>
  <w:style w:type="paragraph" w:styleId="Revision">
    <w:name w:val="Revision"/>
    <w:hidden/>
    <w:uiPriority w:val="99"/>
    <w:semiHidden/>
    <w:rsid w:val="0020343E"/>
    <w:rPr>
      <w:sz w:val="22"/>
      <w:szCs w:val="22"/>
      <w:lang w:val="en-US" w:eastAsia="en-US"/>
    </w:rPr>
  </w:style>
  <w:style w:type="paragraph" w:customStyle="1" w:styleId="Body">
    <w:name w:val="Body"/>
    <w:rsid w:val="005E0D88"/>
    <w:pPr>
      <w:pBdr>
        <w:top w:val="nil"/>
        <w:left w:val="nil"/>
        <w:bottom w:val="nil"/>
        <w:right w:val="nil"/>
        <w:between w:val="nil"/>
        <w:bar w:val="nil"/>
      </w:pBdr>
    </w:pPr>
    <w:rPr>
      <w:rFonts w:ascii="Calibri" w:eastAsia="Arial Unicode MS" w:hAnsi="Calibri" w:cs="Arial Unicode MS"/>
      <w:color w:val="000000"/>
      <w:sz w:val="24"/>
      <w:szCs w:val="24"/>
      <w:u w:color="000000"/>
      <w:bdr w:val="nil"/>
      <w:lang w:val="en-US" w:eastAsia="en-US"/>
      <w14:textOutline w14:w="0" w14:cap="flat" w14:cmpd="sng" w14:algn="ctr">
        <w14:noFill/>
        <w14:prstDash w14:val="solid"/>
        <w14:bevel/>
      </w14:textOutline>
    </w:rPr>
  </w:style>
  <w:style w:type="numbering" w:customStyle="1" w:styleId="ImportedStyle4">
    <w:name w:val="Imported Style 4"/>
    <w:rsid w:val="005E0D88"/>
    <w:pPr>
      <w:numPr>
        <w:numId w:val="38"/>
      </w:numPr>
    </w:pPr>
  </w:style>
  <w:style w:type="paragraph" w:styleId="ListParagraph">
    <w:name w:val="List Paragraph"/>
    <w:rsid w:val="009613B3"/>
    <w:pPr>
      <w:pBdr>
        <w:top w:val="nil"/>
        <w:left w:val="nil"/>
        <w:bottom w:val="nil"/>
        <w:right w:val="nil"/>
        <w:between w:val="nil"/>
        <w:bar w:val="nil"/>
      </w:pBdr>
      <w:ind w:left="720"/>
    </w:pPr>
    <w:rPr>
      <w:rFonts w:eastAsia="Arial Unicode MS" w:cs="Arial Unicode MS"/>
      <w:color w:val="000000"/>
      <w:sz w:val="24"/>
      <w:szCs w:val="24"/>
      <w:u w:color="000000"/>
      <w:bdr w:val="nil"/>
      <w:lang w:val="en-US" w:eastAsia="en-US"/>
    </w:rPr>
  </w:style>
  <w:style w:type="numbering" w:customStyle="1" w:styleId="ImportedStyle1">
    <w:name w:val="Imported Style 1"/>
    <w:rsid w:val="009613B3"/>
    <w:pPr>
      <w:numPr>
        <w:numId w:val="40"/>
      </w:numPr>
    </w:pPr>
  </w:style>
  <w:style w:type="character" w:customStyle="1" w:styleId="CommentTextChar">
    <w:name w:val="Comment Text Char"/>
    <w:basedOn w:val="DefaultParagraphFont"/>
    <w:link w:val="CommentText"/>
    <w:uiPriority w:val="99"/>
    <w:rsid w:val="006A6C7F"/>
    <w:rPr>
      <w:sz w:val="22"/>
      <w:lang w:val="en-US" w:eastAsia="en-US"/>
    </w:rPr>
  </w:style>
  <w:style w:type="character" w:customStyle="1" w:styleId="Heading2Char">
    <w:name w:val="Heading 2 Char"/>
    <w:basedOn w:val="DefaultParagraphFont"/>
    <w:link w:val="Heading2"/>
    <w:rsid w:val="003B0DC2"/>
    <w:rPr>
      <w:rFonts w:ascii="Arial" w:hAnsi="Arial" w:cs="Arial"/>
      <w:b/>
      <w:bCs/>
      <w:iCs/>
      <w:spacing w:val="-10"/>
      <w:sz w:val="28"/>
      <w:szCs w:val="32"/>
      <w:lang w:val="en-US" w:eastAsia="en-US"/>
    </w:rPr>
  </w:style>
  <w:style w:type="character" w:customStyle="1" w:styleId="Heading3Char">
    <w:name w:val="Heading 3 Char"/>
    <w:basedOn w:val="DefaultParagraphFont"/>
    <w:link w:val="Heading3"/>
    <w:rsid w:val="003B0DC2"/>
    <w:rPr>
      <w:rFonts w:ascii="Arial" w:hAnsi="Arial" w:cs="Arial"/>
      <w:b/>
      <w:iCs/>
      <w:spacing w:val="-10"/>
      <w:sz w:val="22"/>
      <w:szCs w:val="28"/>
      <w:lang w:val="en-US" w:eastAsia="en-US"/>
    </w:rPr>
  </w:style>
  <w:style w:type="character" w:styleId="Hyperlink">
    <w:name w:val="Hyperlink"/>
    <w:basedOn w:val="DefaultParagraphFont"/>
    <w:uiPriority w:val="99"/>
    <w:unhideWhenUsed/>
    <w:rsid w:val="00CA4CC2"/>
    <w:rPr>
      <w:color w:val="0000FF" w:themeColor="hyperlink"/>
      <w:u w:val="single"/>
    </w:rPr>
  </w:style>
  <w:style w:type="character" w:customStyle="1" w:styleId="author">
    <w:name w:val="author"/>
    <w:basedOn w:val="DefaultParagraphFont"/>
    <w:rsid w:val="00CA4CC2"/>
  </w:style>
  <w:style w:type="character" w:customStyle="1" w:styleId="pubyear">
    <w:name w:val="pubyear"/>
    <w:basedOn w:val="DefaultParagraphFont"/>
    <w:rsid w:val="00CA4CC2"/>
  </w:style>
  <w:style w:type="character" w:customStyle="1" w:styleId="articletitle">
    <w:name w:val="articletitle"/>
    <w:basedOn w:val="DefaultParagraphFont"/>
    <w:rsid w:val="00CA4CC2"/>
  </w:style>
  <w:style w:type="character" w:customStyle="1" w:styleId="vol">
    <w:name w:val="vol"/>
    <w:basedOn w:val="DefaultParagraphFont"/>
    <w:rsid w:val="00CA4CC2"/>
  </w:style>
  <w:style w:type="character" w:customStyle="1" w:styleId="pagefirst">
    <w:name w:val="pagefirst"/>
    <w:basedOn w:val="DefaultParagraphFont"/>
    <w:rsid w:val="00CA4CC2"/>
  </w:style>
  <w:style w:type="character" w:customStyle="1" w:styleId="pagelast">
    <w:name w:val="pagelast"/>
    <w:basedOn w:val="DefaultParagraphFont"/>
    <w:rsid w:val="00CA4CC2"/>
  </w:style>
  <w:style w:type="character" w:customStyle="1" w:styleId="groupname">
    <w:name w:val="groupname"/>
    <w:basedOn w:val="DefaultParagraphFont"/>
    <w:rsid w:val="00CA4CC2"/>
  </w:style>
  <w:style w:type="character" w:customStyle="1" w:styleId="othertitle">
    <w:name w:val="othertitle"/>
    <w:basedOn w:val="DefaultParagraphFont"/>
    <w:rsid w:val="00CA4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4462">
      <w:bodyDiv w:val="1"/>
      <w:marLeft w:val="0"/>
      <w:marRight w:val="0"/>
      <w:marTop w:val="0"/>
      <w:marBottom w:val="0"/>
      <w:divBdr>
        <w:top w:val="none" w:sz="0" w:space="0" w:color="auto"/>
        <w:left w:val="none" w:sz="0" w:space="0" w:color="auto"/>
        <w:bottom w:val="none" w:sz="0" w:space="0" w:color="auto"/>
        <w:right w:val="none" w:sz="0" w:space="0" w:color="auto"/>
      </w:divBdr>
    </w:div>
    <w:div w:id="188640242">
      <w:bodyDiv w:val="1"/>
      <w:marLeft w:val="0"/>
      <w:marRight w:val="0"/>
      <w:marTop w:val="0"/>
      <w:marBottom w:val="0"/>
      <w:divBdr>
        <w:top w:val="none" w:sz="0" w:space="0" w:color="auto"/>
        <w:left w:val="none" w:sz="0" w:space="0" w:color="auto"/>
        <w:bottom w:val="none" w:sz="0" w:space="0" w:color="auto"/>
        <w:right w:val="none" w:sz="0" w:space="0" w:color="auto"/>
      </w:divBdr>
    </w:div>
    <w:div w:id="756361500">
      <w:bodyDiv w:val="1"/>
      <w:marLeft w:val="0"/>
      <w:marRight w:val="0"/>
      <w:marTop w:val="0"/>
      <w:marBottom w:val="0"/>
      <w:divBdr>
        <w:top w:val="none" w:sz="0" w:space="0" w:color="auto"/>
        <w:left w:val="none" w:sz="0" w:space="0" w:color="auto"/>
        <w:bottom w:val="none" w:sz="0" w:space="0" w:color="auto"/>
        <w:right w:val="none" w:sz="0" w:space="0" w:color="auto"/>
      </w:divBdr>
    </w:div>
    <w:div w:id="1055619399">
      <w:bodyDiv w:val="1"/>
      <w:marLeft w:val="0"/>
      <w:marRight w:val="0"/>
      <w:marTop w:val="0"/>
      <w:marBottom w:val="0"/>
      <w:divBdr>
        <w:top w:val="none" w:sz="0" w:space="0" w:color="auto"/>
        <w:left w:val="none" w:sz="0" w:space="0" w:color="auto"/>
        <w:bottom w:val="none" w:sz="0" w:space="0" w:color="auto"/>
        <w:right w:val="none" w:sz="0" w:space="0" w:color="auto"/>
      </w:divBdr>
    </w:div>
    <w:div w:id="1412384177">
      <w:bodyDiv w:val="1"/>
      <w:marLeft w:val="0"/>
      <w:marRight w:val="0"/>
      <w:marTop w:val="0"/>
      <w:marBottom w:val="0"/>
      <w:divBdr>
        <w:top w:val="none" w:sz="0" w:space="0" w:color="auto"/>
        <w:left w:val="none" w:sz="0" w:space="0" w:color="auto"/>
        <w:bottom w:val="none" w:sz="0" w:space="0" w:color="auto"/>
        <w:right w:val="none" w:sz="0" w:space="0" w:color="auto"/>
      </w:divBdr>
    </w:div>
    <w:div w:id="1815024459">
      <w:bodyDiv w:val="1"/>
      <w:marLeft w:val="0"/>
      <w:marRight w:val="0"/>
      <w:marTop w:val="0"/>
      <w:marBottom w:val="0"/>
      <w:divBdr>
        <w:top w:val="none" w:sz="0" w:space="0" w:color="auto"/>
        <w:left w:val="none" w:sz="0" w:space="0" w:color="auto"/>
        <w:bottom w:val="none" w:sz="0" w:space="0" w:color="auto"/>
        <w:right w:val="none" w:sz="0" w:space="0" w:color="auto"/>
      </w:divBdr>
    </w:div>
    <w:div w:id="1869101385">
      <w:bodyDiv w:val="1"/>
      <w:marLeft w:val="0"/>
      <w:marRight w:val="0"/>
      <w:marTop w:val="0"/>
      <w:marBottom w:val="0"/>
      <w:divBdr>
        <w:top w:val="none" w:sz="0" w:space="0" w:color="auto"/>
        <w:left w:val="none" w:sz="0" w:space="0" w:color="auto"/>
        <w:bottom w:val="none" w:sz="0" w:space="0" w:color="auto"/>
        <w:right w:val="none" w:sz="0" w:space="0" w:color="auto"/>
      </w:divBdr>
    </w:div>
    <w:div w:id="192325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yperlink" Target="https://population"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cience.sciencemag.org/content/312/5781/1806.abstract" TargetMode="Externa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111/csp2.31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MSOffice\Templates\Manuscri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02EA6811BD4F43A7D3C0312E6187A7"/>
        <w:category>
          <w:name w:val="General"/>
          <w:gallery w:val="placeholder"/>
        </w:category>
        <w:types>
          <w:type w:val="bbPlcHdr"/>
        </w:types>
        <w:behaviors>
          <w:behavior w:val="content"/>
        </w:behaviors>
        <w:guid w:val="{78F06957-FCE6-134C-BEC7-30A247498DE7}"/>
      </w:docPartPr>
      <w:docPartBody>
        <w:p w:rsidR="00F73E03" w:rsidRDefault="00206914" w:rsidP="00206914">
          <w:pPr>
            <w:pStyle w:val="4602EA6811BD4F43A7D3C0312E6187A7"/>
          </w:pPr>
          <w:r w:rsidRPr="00DA71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914"/>
    <w:rsid w:val="000E0865"/>
    <w:rsid w:val="00206914"/>
    <w:rsid w:val="008B5EC9"/>
    <w:rsid w:val="00F73E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6914"/>
    <w:rPr>
      <w:color w:val="808080"/>
    </w:rPr>
  </w:style>
  <w:style w:type="paragraph" w:customStyle="1" w:styleId="4602EA6811BD4F43A7D3C0312E6187A7">
    <w:name w:val="4602EA6811BD4F43A7D3C0312E6187A7"/>
    <w:rsid w:val="002069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8CB08-1529-4F92-AFF1-3F0A4BBD2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D:\MSOffice\Templates\Manuscript.dot</Template>
  <TotalTime>58</TotalTime>
  <Pages>78</Pages>
  <Words>18930</Words>
  <Characters>107907</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University of Guelph thesis template</vt:lpstr>
    </vt:vector>
  </TitlesOfParts>
  <Company>University of Guelph</Company>
  <LinksUpToDate>false</LinksUpToDate>
  <CharactersWithSpaces>126584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Guelph thesis template</dc:title>
  <dc:subject>August 20, 2007</dc:subject>
  <dc:creator>Rob de Loe</dc:creator>
  <dc:description>This template is provided as a public service. Rob de Loe will not provide advice on using Word or this template!</dc:description>
  <cp:lastModifiedBy>Emma Katharine Kirke</cp:lastModifiedBy>
  <cp:revision>30</cp:revision>
  <cp:lastPrinted>2012-12-21T01:58:00Z</cp:lastPrinted>
  <dcterms:created xsi:type="dcterms:W3CDTF">2023-05-16T21:19:00Z</dcterms:created>
  <dcterms:modified xsi:type="dcterms:W3CDTF">2023-05-28T21:52:00Z</dcterms:modified>
</cp:coreProperties>
</file>